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6823" w:rsidRDefault="008305BC">
      <w:pPr>
        <w:spacing w:line="360" w:lineRule="auto"/>
        <w:ind w:firstLineChars="200" w:firstLine="562"/>
        <w:jc w:val="left"/>
        <w:rPr>
          <w:rFonts w:eastAsia="仿宋_GB2312"/>
          <w:kern w:val="0"/>
          <w:sz w:val="30"/>
          <w:szCs w:val="30"/>
        </w:rPr>
      </w:pPr>
      <w:r>
        <w:rPr>
          <w:rFonts w:ascii="仿宋_GB2312" w:eastAsia="仿宋_GB2312" w:hAnsi="宋体" w:cs="宋体" w:hint="eastAsia"/>
          <w:b/>
          <w:kern w:val="0"/>
          <w:sz w:val="28"/>
          <w:szCs w:val="28"/>
        </w:rPr>
        <w:t>附表1</w:t>
      </w:r>
    </w:p>
    <w:p w:rsidR="00026823" w:rsidRDefault="008305BC">
      <w:pPr>
        <w:jc w:val="center"/>
        <w:rPr>
          <w:rFonts w:ascii="黑体" w:eastAsia="黑体"/>
          <w:b/>
          <w:sz w:val="30"/>
        </w:rPr>
      </w:pPr>
      <w:r>
        <w:rPr>
          <w:rFonts w:ascii="黑体" w:eastAsia="黑体" w:hint="eastAsia"/>
          <w:b/>
          <w:sz w:val="30"/>
        </w:rPr>
        <w:t>协会标准项目建议书</w:t>
      </w:r>
    </w:p>
    <w:tbl>
      <w:tblPr>
        <w:tblW w:w="9098"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476"/>
        <w:gridCol w:w="1080"/>
        <w:gridCol w:w="450"/>
        <w:gridCol w:w="450"/>
        <w:gridCol w:w="656"/>
        <w:gridCol w:w="502"/>
        <w:gridCol w:w="1549"/>
        <w:gridCol w:w="67"/>
        <w:gridCol w:w="1307"/>
        <w:gridCol w:w="1561"/>
      </w:tblGrid>
      <w:tr w:rsidR="00026823">
        <w:trPr>
          <w:trHeight w:val="1072"/>
          <w:jc w:val="center"/>
        </w:trPr>
        <w:tc>
          <w:tcPr>
            <w:tcW w:w="1476" w:type="dxa"/>
            <w:tcBorders>
              <w:top w:val="single" w:sz="4" w:space="0" w:color="auto"/>
              <w:left w:val="single" w:sz="4" w:space="0" w:color="auto"/>
              <w:bottom w:val="single" w:sz="4" w:space="0" w:color="auto"/>
              <w:right w:val="single" w:sz="4" w:space="0" w:color="auto"/>
            </w:tcBorders>
            <w:vAlign w:val="center"/>
          </w:tcPr>
          <w:p w:rsidR="00026823" w:rsidRDefault="008305BC">
            <w:pPr>
              <w:pStyle w:val="a6"/>
              <w:pBdr>
                <w:bottom w:val="none" w:sz="0" w:space="0" w:color="auto"/>
              </w:pBdr>
              <w:tabs>
                <w:tab w:val="left" w:pos="420"/>
              </w:tabs>
              <w:snapToGrid/>
              <w:jc w:val="both"/>
              <w:rPr>
                <w:szCs w:val="24"/>
              </w:rPr>
            </w:pPr>
            <w:r>
              <w:rPr>
                <w:rFonts w:hint="eastAsia"/>
                <w:szCs w:val="24"/>
              </w:rPr>
              <w:t>建议项目名称</w:t>
            </w:r>
          </w:p>
          <w:p w:rsidR="00026823" w:rsidRDefault="008305BC">
            <w:pPr>
              <w:ind w:hanging="13"/>
              <w:rPr>
                <w:sz w:val="18"/>
              </w:rPr>
            </w:pPr>
            <w:r>
              <w:rPr>
                <w:sz w:val="18"/>
              </w:rPr>
              <w:t>(</w:t>
            </w:r>
            <w:r>
              <w:rPr>
                <w:rFonts w:hint="eastAsia"/>
                <w:sz w:val="18"/>
              </w:rPr>
              <w:t>中文</w:t>
            </w:r>
            <w:r>
              <w:rPr>
                <w:sz w:val="18"/>
              </w:rPr>
              <w:t>)</w:t>
            </w:r>
          </w:p>
        </w:tc>
        <w:tc>
          <w:tcPr>
            <w:tcW w:w="3138" w:type="dxa"/>
            <w:gridSpan w:val="5"/>
            <w:tcBorders>
              <w:top w:val="single" w:sz="4" w:space="0" w:color="auto"/>
              <w:left w:val="single" w:sz="4" w:space="0" w:color="auto"/>
              <w:bottom w:val="single" w:sz="4" w:space="0" w:color="auto"/>
              <w:right w:val="single" w:sz="4" w:space="0" w:color="auto"/>
            </w:tcBorders>
            <w:vAlign w:val="center"/>
          </w:tcPr>
          <w:p w:rsidR="00026823" w:rsidRDefault="008305BC">
            <w:pPr>
              <w:rPr>
                <w:sz w:val="18"/>
                <w:szCs w:val="18"/>
              </w:rPr>
            </w:pPr>
            <w:r>
              <w:rPr>
                <w:rFonts w:hint="eastAsia"/>
                <w:sz w:val="18"/>
                <w:szCs w:val="18"/>
              </w:rPr>
              <w:t>水泥企业价值链温室气体排放核算与报告指南</w:t>
            </w:r>
          </w:p>
        </w:tc>
        <w:tc>
          <w:tcPr>
            <w:tcW w:w="1549" w:type="dxa"/>
            <w:tcBorders>
              <w:top w:val="single" w:sz="4" w:space="0" w:color="auto"/>
              <w:left w:val="single" w:sz="4" w:space="0" w:color="auto"/>
              <w:bottom w:val="single" w:sz="4" w:space="0" w:color="auto"/>
              <w:right w:val="single" w:sz="4" w:space="0" w:color="auto"/>
            </w:tcBorders>
            <w:vAlign w:val="center"/>
          </w:tcPr>
          <w:p w:rsidR="00026823" w:rsidRDefault="008305BC">
            <w:pPr>
              <w:rPr>
                <w:sz w:val="18"/>
                <w:szCs w:val="18"/>
              </w:rPr>
            </w:pPr>
            <w:r>
              <w:rPr>
                <w:rFonts w:hint="eastAsia"/>
                <w:sz w:val="18"/>
                <w:szCs w:val="18"/>
              </w:rPr>
              <w:t>建议项目名称</w:t>
            </w:r>
          </w:p>
          <w:p w:rsidR="00026823" w:rsidRDefault="008305BC">
            <w:pPr>
              <w:rPr>
                <w:sz w:val="15"/>
              </w:rPr>
            </w:pPr>
            <w:r>
              <w:rPr>
                <w:sz w:val="18"/>
                <w:szCs w:val="18"/>
              </w:rPr>
              <w:t>(</w:t>
            </w:r>
            <w:r>
              <w:rPr>
                <w:rFonts w:hint="eastAsia"/>
                <w:sz w:val="18"/>
                <w:szCs w:val="18"/>
              </w:rPr>
              <w:t>英文</w:t>
            </w:r>
            <w:r>
              <w:rPr>
                <w:sz w:val="18"/>
                <w:szCs w:val="18"/>
              </w:rPr>
              <w:t>)</w:t>
            </w:r>
          </w:p>
        </w:tc>
        <w:tc>
          <w:tcPr>
            <w:tcW w:w="2935" w:type="dxa"/>
            <w:gridSpan w:val="3"/>
            <w:tcBorders>
              <w:top w:val="single" w:sz="4" w:space="0" w:color="auto"/>
              <w:left w:val="single" w:sz="4" w:space="0" w:color="auto"/>
              <w:bottom w:val="single" w:sz="4" w:space="0" w:color="auto"/>
              <w:right w:val="single" w:sz="4" w:space="0" w:color="auto"/>
            </w:tcBorders>
            <w:vAlign w:val="center"/>
          </w:tcPr>
          <w:p w:rsidR="00026823" w:rsidRDefault="008305BC">
            <w:r>
              <w:rPr>
                <w:sz w:val="18"/>
                <w:szCs w:val="18"/>
              </w:rPr>
              <w:t>Cement Sector</w:t>
            </w:r>
            <w:r>
              <w:rPr>
                <w:rFonts w:hint="eastAsia"/>
                <w:sz w:val="18"/>
                <w:szCs w:val="18"/>
              </w:rPr>
              <w:t xml:space="preserve"> </w:t>
            </w:r>
            <w:r>
              <w:rPr>
                <w:sz w:val="18"/>
                <w:szCs w:val="18"/>
              </w:rPr>
              <w:t>Value chain Scope 3 GHG</w:t>
            </w:r>
            <w:r>
              <w:rPr>
                <w:rFonts w:hint="eastAsia"/>
                <w:sz w:val="18"/>
                <w:szCs w:val="18"/>
              </w:rPr>
              <w:t xml:space="preserve"> </w:t>
            </w:r>
            <w:r>
              <w:rPr>
                <w:sz w:val="18"/>
                <w:szCs w:val="18"/>
              </w:rPr>
              <w:t>Accounting and Reporting Guidance</w:t>
            </w:r>
          </w:p>
        </w:tc>
      </w:tr>
      <w:tr w:rsidR="00026823">
        <w:trPr>
          <w:trHeight w:val="454"/>
          <w:jc w:val="center"/>
        </w:trPr>
        <w:tc>
          <w:tcPr>
            <w:tcW w:w="1476" w:type="dxa"/>
            <w:tcBorders>
              <w:top w:val="single" w:sz="4" w:space="0" w:color="auto"/>
              <w:left w:val="single" w:sz="4" w:space="0" w:color="auto"/>
              <w:bottom w:val="single" w:sz="4" w:space="0" w:color="auto"/>
              <w:right w:val="single" w:sz="4" w:space="0" w:color="auto"/>
            </w:tcBorders>
            <w:vAlign w:val="center"/>
          </w:tcPr>
          <w:p w:rsidR="00026823" w:rsidRDefault="008305BC">
            <w:pPr>
              <w:rPr>
                <w:sz w:val="18"/>
              </w:rPr>
            </w:pPr>
            <w:r>
              <w:rPr>
                <w:rFonts w:hint="eastAsia"/>
                <w:sz w:val="18"/>
              </w:rPr>
              <w:t>制定或修订</w:t>
            </w:r>
          </w:p>
        </w:tc>
        <w:tc>
          <w:tcPr>
            <w:tcW w:w="1530" w:type="dxa"/>
            <w:gridSpan w:val="2"/>
            <w:tcBorders>
              <w:top w:val="single" w:sz="4" w:space="0" w:color="auto"/>
              <w:left w:val="single" w:sz="4" w:space="0" w:color="auto"/>
              <w:bottom w:val="single" w:sz="4" w:space="0" w:color="auto"/>
              <w:right w:val="single" w:sz="4" w:space="0" w:color="auto"/>
            </w:tcBorders>
            <w:vAlign w:val="center"/>
          </w:tcPr>
          <w:p w:rsidR="00026823" w:rsidRDefault="008305BC">
            <w:pPr>
              <w:rPr>
                <w:sz w:val="18"/>
              </w:rPr>
            </w:pPr>
            <w:r>
              <w:rPr>
                <w:rFonts w:ascii="Wingdings 2" w:hAnsi="Wingdings 2"/>
                <w:szCs w:val="21"/>
              </w:rPr>
              <w:t></w:t>
            </w:r>
            <w:r>
              <w:rPr>
                <w:rFonts w:hint="eastAsia"/>
                <w:sz w:val="18"/>
              </w:rPr>
              <w:t>制定</w:t>
            </w:r>
          </w:p>
        </w:tc>
        <w:tc>
          <w:tcPr>
            <w:tcW w:w="1608" w:type="dxa"/>
            <w:gridSpan w:val="3"/>
            <w:tcBorders>
              <w:top w:val="single" w:sz="4" w:space="0" w:color="auto"/>
              <w:left w:val="single" w:sz="4" w:space="0" w:color="auto"/>
              <w:bottom w:val="single" w:sz="4" w:space="0" w:color="auto"/>
              <w:right w:val="single" w:sz="4" w:space="0" w:color="auto"/>
            </w:tcBorders>
            <w:vAlign w:val="center"/>
          </w:tcPr>
          <w:p w:rsidR="00026823" w:rsidRDefault="008305BC">
            <w:pPr>
              <w:rPr>
                <w:sz w:val="18"/>
              </w:rPr>
            </w:pPr>
            <w:r>
              <w:rPr>
                <w:rFonts w:ascii="宋体" w:hAnsi="宋体" w:hint="eastAsia"/>
                <w:szCs w:val="21"/>
              </w:rPr>
              <w:t>□</w:t>
            </w:r>
            <w:r>
              <w:rPr>
                <w:rFonts w:hint="eastAsia"/>
                <w:sz w:val="18"/>
              </w:rPr>
              <w:t>修订</w:t>
            </w:r>
          </w:p>
        </w:tc>
        <w:tc>
          <w:tcPr>
            <w:tcW w:w="1549" w:type="dxa"/>
            <w:tcBorders>
              <w:top w:val="single" w:sz="4" w:space="0" w:color="auto"/>
              <w:left w:val="single" w:sz="4" w:space="0" w:color="auto"/>
              <w:bottom w:val="single" w:sz="4" w:space="0" w:color="auto"/>
              <w:right w:val="single" w:sz="4" w:space="0" w:color="auto"/>
            </w:tcBorders>
            <w:vAlign w:val="center"/>
          </w:tcPr>
          <w:p w:rsidR="00026823" w:rsidRDefault="008305BC">
            <w:pPr>
              <w:rPr>
                <w:sz w:val="18"/>
              </w:rPr>
            </w:pPr>
            <w:r>
              <w:rPr>
                <w:rFonts w:hint="eastAsia"/>
                <w:sz w:val="18"/>
              </w:rPr>
              <w:t>被修订标准号</w:t>
            </w:r>
          </w:p>
        </w:tc>
        <w:tc>
          <w:tcPr>
            <w:tcW w:w="2935" w:type="dxa"/>
            <w:gridSpan w:val="3"/>
            <w:tcBorders>
              <w:top w:val="single" w:sz="4" w:space="0" w:color="auto"/>
              <w:left w:val="single" w:sz="4" w:space="0" w:color="auto"/>
              <w:bottom w:val="single" w:sz="4" w:space="0" w:color="auto"/>
              <w:right w:val="single" w:sz="4" w:space="0" w:color="auto"/>
            </w:tcBorders>
            <w:vAlign w:val="center"/>
          </w:tcPr>
          <w:p w:rsidR="00026823" w:rsidRDefault="008305BC">
            <w:pPr>
              <w:rPr>
                <w:sz w:val="18"/>
              </w:rPr>
            </w:pPr>
            <w:r>
              <w:rPr>
                <w:rFonts w:hint="eastAsia"/>
                <w:sz w:val="18"/>
              </w:rPr>
              <w:t>无</w:t>
            </w:r>
          </w:p>
        </w:tc>
      </w:tr>
      <w:tr w:rsidR="00026823">
        <w:trPr>
          <w:trHeight w:val="454"/>
          <w:jc w:val="center"/>
        </w:trPr>
        <w:tc>
          <w:tcPr>
            <w:tcW w:w="1476" w:type="dxa"/>
            <w:tcBorders>
              <w:top w:val="single" w:sz="4" w:space="0" w:color="auto"/>
              <w:left w:val="single" w:sz="4" w:space="0" w:color="auto"/>
              <w:bottom w:val="single" w:sz="4" w:space="0" w:color="auto"/>
              <w:right w:val="single" w:sz="4" w:space="0" w:color="auto"/>
            </w:tcBorders>
            <w:vAlign w:val="center"/>
          </w:tcPr>
          <w:p w:rsidR="00026823" w:rsidRDefault="008305BC">
            <w:pPr>
              <w:rPr>
                <w:sz w:val="18"/>
              </w:rPr>
            </w:pPr>
            <w:r>
              <w:rPr>
                <w:rFonts w:hint="eastAsia"/>
                <w:sz w:val="18"/>
              </w:rPr>
              <w:t>采用程度</w:t>
            </w:r>
          </w:p>
        </w:tc>
        <w:tc>
          <w:tcPr>
            <w:tcW w:w="1080" w:type="dxa"/>
            <w:tcBorders>
              <w:top w:val="single" w:sz="4" w:space="0" w:color="auto"/>
              <w:left w:val="single" w:sz="4" w:space="0" w:color="auto"/>
              <w:bottom w:val="single" w:sz="4" w:space="0" w:color="auto"/>
              <w:right w:val="single" w:sz="4" w:space="0" w:color="auto"/>
            </w:tcBorders>
            <w:vAlign w:val="center"/>
          </w:tcPr>
          <w:p w:rsidR="00026823" w:rsidRDefault="008305BC">
            <w:pPr>
              <w:rPr>
                <w:sz w:val="18"/>
              </w:rPr>
            </w:pPr>
            <w:r>
              <w:rPr>
                <w:rFonts w:ascii="宋体" w:hAnsi="宋体" w:hint="eastAsia"/>
                <w:szCs w:val="21"/>
              </w:rPr>
              <w:t>□</w:t>
            </w:r>
            <w:r>
              <w:rPr>
                <w:sz w:val="18"/>
              </w:rPr>
              <w:t>IDT</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026823" w:rsidRDefault="008305BC">
            <w:pPr>
              <w:rPr>
                <w:sz w:val="18"/>
              </w:rPr>
            </w:pPr>
            <w:r>
              <w:rPr>
                <w:rFonts w:ascii="宋体" w:hAnsi="宋体" w:hint="eastAsia"/>
                <w:szCs w:val="21"/>
              </w:rPr>
              <w:t>□</w:t>
            </w:r>
            <w:r>
              <w:rPr>
                <w:sz w:val="18"/>
              </w:rPr>
              <w:t>MOD</w:t>
            </w:r>
          </w:p>
        </w:tc>
        <w:tc>
          <w:tcPr>
            <w:tcW w:w="1158" w:type="dxa"/>
            <w:gridSpan w:val="2"/>
            <w:tcBorders>
              <w:top w:val="single" w:sz="4" w:space="0" w:color="auto"/>
              <w:left w:val="single" w:sz="4" w:space="0" w:color="auto"/>
              <w:bottom w:val="single" w:sz="4" w:space="0" w:color="auto"/>
              <w:right w:val="single" w:sz="4" w:space="0" w:color="auto"/>
            </w:tcBorders>
            <w:vAlign w:val="center"/>
          </w:tcPr>
          <w:p w:rsidR="00026823" w:rsidRDefault="008305BC">
            <w:pPr>
              <w:rPr>
                <w:sz w:val="18"/>
              </w:rPr>
            </w:pPr>
            <w:r>
              <w:rPr>
                <w:rFonts w:ascii="宋体" w:hAnsi="宋体" w:hint="eastAsia"/>
                <w:szCs w:val="21"/>
              </w:rPr>
              <w:t>□</w:t>
            </w:r>
            <w:r>
              <w:rPr>
                <w:sz w:val="18"/>
              </w:rPr>
              <w:t>NEQ</w:t>
            </w:r>
          </w:p>
        </w:tc>
        <w:tc>
          <w:tcPr>
            <w:tcW w:w="1549" w:type="dxa"/>
            <w:tcBorders>
              <w:top w:val="single" w:sz="4" w:space="0" w:color="auto"/>
              <w:left w:val="single" w:sz="4" w:space="0" w:color="auto"/>
              <w:bottom w:val="single" w:sz="4" w:space="0" w:color="auto"/>
              <w:right w:val="single" w:sz="4" w:space="0" w:color="auto"/>
            </w:tcBorders>
            <w:vAlign w:val="center"/>
          </w:tcPr>
          <w:p w:rsidR="00026823" w:rsidRDefault="008305BC">
            <w:pPr>
              <w:rPr>
                <w:sz w:val="18"/>
              </w:rPr>
            </w:pPr>
            <w:r>
              <w:rPr>
                <w:rFonts w:hint="eastAsia"/>
                <w:sz w:val="18"/>
              </w:rPr>
              <w:t>采标号</w:t>
            </w:r>
          </w:p>
        </w:tc>
        <w:tc>
          <w:tcPr>
            <w:tcW w:w="2935" w:type="dxa"/>
            <w:gridSpan w:val="3"/>
            <w:tcBorders>
              <w:top w:val="single" w:sz="4" w:space="0" w:color="auto"/>
              <w:left w:val="single" w:sz="4" w:space="0" w:color="auto"/>
              <w:bottom w:val="single" w:sz="4" w:space="0" w:color="auto"/>
              <w:right w:val="single" w:sz="4" w:space="0" w:color="auto"/>
            </w:tcBorders>
            <w:vAlign w:val="center"/>
          </w:tcPr>
          <w:p w:rsidR="00026823" w:rsidRDefault="008305BC">
            <w:pPr>
              <w:rPr>
                <w:sz w:val="18"/>
              </w:rPr>
            </w:pPr>
            <w:r>
              <w:rPr>
                <w:rFonts w:hint="eastAsia"/>
                <w:sz w:val="18"/>
              </w:rPr>
              <w:t>无</w:t>
            </w:r>
          </w:p>
        </w:tc>
      </w:tr>
      <w:tr w:rsidR="00026823">
        <w:trPr>
          <w:trHeight w:val="966"/>
          <w:jc w:val="center"/>
        </w:trPr>
        <w:tc>
          <w:tcPr>
            <w:tcW w:w="1476" w:type="dxa"/>
            <w:tcBorders>
              <w:top w:val="single" w:sz="4" w:space="0" w:color="auto"/>
              <w:left w:val="single" w:sz="4" w:space="0" w:color="auto"/>
              <w:bottom w:val="single" w:sz="4" w:space="0" w:color="auto"/>
              <w:right w:val="single" w:sz="4" w:space="0" w:color="auto"/>
            </w:tcBorders>
            <w:vAlign w:val="center"/>
          </w:tcPr>
          <w:p w:rsidR="00026823" w:rsidRDefault="008305BC">
            <w:pPr>
              <w:pStyle w:val="a6"/>
              <w:pBdr>
                <w:bottom w:val="none" w:sz="0" w:space="0" w:color="auto"/>
              </w:pBdr>
              <w:tabs>
                <w:tab w:val="left" w:pos="420"/>
              </w:tabs>
              <w:snapToGrid/>
              <w:jc w:val="both"/>
              <w:rPr>
                <w:szCs w:val="24"/>
              </w:rPr>
            </w:pPr>
            <w:r>
              <w:rPr>
                <w:rFonts w:hint="eastAsia"/>
              </w:rPr>
              <w:t>国际标准</w:t>
            </w:r>
            <w:r>
              <w:rPr>
                <w:rFonts w:hint="eastAsia"/>
                <w:szCs w:val="24"/>
              </w:rPr>
              <w:t>名称</w:t>
            </w:r>
          </w:p>
          <w:p w:rsidR="00026823" w:rsidRDefault="008305BC">
            <w:pPr>
              <w:rPr>
                <w:sz w:val="18"/>
              </w:rPr>
            </w:pPr>
            <w:r>
              <w:rPr>
                <w:sz w:val="18"/>
              </w:rPr>
              <w:t>(</w:t>
            </w:r>
            <w:r>
              <w:rPr>
                <w:rFonts w:hint="eastAsia"/>
                <w:sz w:val="18"/>
              </w:rPr>
              <w:t>中文</w:t>
            </w:r>
            <w:r>
              <w:rPr>
                <w:sz w:val="18"/>
              </w:rPr>
              <w:t>)</w:t>
            </w:r>
          </w:p>
        </w:tc>
        <w:tc>
          <w:tcPr>
            <w:tcW w:w="3138" w:type="dxa"/>
            <w:gridSpan w:val="5"/>
            <w:tcBorders>
              <w:top w:val="single" w:sz="4" w:space="0" w:color="auto"/>
              <w:left w:val="single" w:sz="4" w:space="0" w:color="auto"/>
              <w:bottom w:val="single" w:sz="4" w:space="0" w:color="auto"/>
              <w:right w:val="single" w:sz="4" w:space="0" w:color="auto"/>
            </w:tcBorders>
            <w:vAlign w:val="center"/>
          </w:tcPr>
          <w:p w:rsidR="00026823" w:rsidRDefault="008305BC">
            <w:pPr>
              <w:rPr>
                <w:sz w:val="18"/>
              </w:rPr>
            </w:pPr>
            <w:r>
              <w:rPr>
                <w:rFonts w:hint="eastAsia"/>
                <w:sz w:val="18"/>
              </w:rPr>
              <w:t>无</w:t>
            </w:r>
          </w:p>
        </w:tc>
        <w:tc>
          <w:tcPr>
            <w:tcW w:w="1549" w:type="dxa"/>
            <w:tcBorders>
              <w:top w:val="single" w:sz="4" w:space="0" w:color="auto"/>
              <w:left w:val="single" w:sz="4" w:space="0" w:color="auto"/>
              <w:bottom w:val="single" w:sz="4" w:space="0" w:color="auto"/>
              <w:right w:val="single" w:sz="4" w:space="0" w:color="auto"/>
            </w:tcBorders>
            <w:vAlign w:val="center"/>
          </w:tcPr>
          <w:p w:rsidR="00026823" w:rsidRDefault="008305BC">
            <w:pPr>
              <w:rPr>
                <w:sz w:val="18"/>
                <w:szCs w:val="18"/>
              </w:rPr>
            </w:pPr>
            <w:r>
              <w:rPr>
                <w:rFonts w:hint="eastAsia"/>
                <w:sz w:val="18"/>
                <w:szCs w:val="18"/>
              </w:rPr>
              <w:t>国际标准名称</w:t>
            </w:r>
          </w:p>
          <w:p w:rsidR="00026823" w:rsidRDefault="008305BC">
            <w:pPr>
              <w:rPr>
                <w:sz w:val="18"/>
              </w:rPr>
            </w:pPr>
            <w:r>
              <w:rPr>
                <w:sz w:val="18"/>
                <w:szCs w:val="18"/>
              </w:rPr>
              <w:t>(</w:t>
            </w:r>
            <w:r>
              <w:rPr>
                <w:rFonts w:hint="eastAsia"/>
                <w:sz w:val="18"/>
                <w:szCs w:val="18"/>
              </w:rPr>
              <w:t>英文</w:t>
            </w:r>
            <w:r>
              <w:rPr>
                <w:sz w:val="18"/>
                <w:szCs w:val="18"/>
              </w:rPr>
              <w:t>)</w:t>
            </w:r>
          </w:p>
        </w:tc>
        <w:tc>
          <w:tcPr>
            <w:tcW w:w="2935" w:type="dxa"/>
            <w:gridSpan w:val="3"/>
            <w:tcBorders>
              <w:top w:val="single" w:sz="4" w:space="0" w:color="auto"/>
              <w:left w:val="single" w:sz="4" w:space="0" w:color="auto"/>
              <w:bottom w:val="single" w:sz="4" w:space="0" w:color="auto"/>
              <w:right w:val="single" w:sz="4" w:space="0" w:color="auto"/>
            </w:tcBorders>
            <w:vAlign w:val="center"/>
          </w:tcPr>
          <w:p w:rsidR="00026823" w:rsidRDefault="008305BC">
            <w:pPr>
              <w:rPr>
                <w:sz w:val="18"/>
              </w:rPr>
            </w:pPr>
            <w:r>
              <w:rPr>
                <w:rFonts w:hint="eastAsia"/>
                <w:sz w:val="18"/>
              </w:rPr>
              <w:t>无</w:t>
            </w:r>
          </w:p>
        </w:tc>
      </w:tr>
      <w:tr w:rsidR="00026823">
        <w:trPr>
          <w:trHeight w:val="454"/>
          <w:jc w:val="center"/>
        </w:trPr>
        <w:tc>
          <w:tcPr>
            <w:tcW w:w="1476" w:type="dxa"/>
            <w:tcBorders>
              <w:top w:val="single" w:sz="4" w:space="0" w:color="auto"/>
              <w:left w:val="single" w:sz="4" w:space="0" w:color="auto"/>
              <w:bottom w:val="single" w:sz="4" w:space="0" w:color="auto"/>
              <w:right w:val="single" w:sz="4" w:space="0" w:color="auto"/>
            </w:tcBorders>
            <w:vAlign w:val="center"/>
          </w:tcPr>
          <w:p w:rsidR="00026823" w:rsidRDefault="008305BC">
            <w:pPr>
              <w:rPr>
                <w:sz w:val="18"/>
              </w:rPr>
            </w:pPr>
            <w:r>
              <w:rPr>
                <w:rFonts w:hint="eastAsia"/>
                <w:sz w:val="18"/>
              </w:rPr>
              <w:t>采用快速程序</w:t>
            </w:r>
          </w:p>
        </w:tc>
        <w:tc>
          <w:tcPr>
            <w:tcW w:w="3138" w:type="dxa"/>
            <w:gridSpan w:val="5"/>
            <w:tcBorders>
              <w:top w:val="single" w:sz="4" w:space="0" w:color="auto"/>
              <w:left w:val="single" w:sz="4" w:space="0" w:color="auto"/>
              <w:bottom w:val="single" w:sz="4" w:space="0" w:color="auto"/>
              <w:right w:val="single" w:sz="4" w:space="0" w:color="auto"/>
            </w:tcBorders>
            <w:vAlign w:val="center"/>
          </w:tcPr>
          <w:p w:rsidR="00026823" w:rsidRDefault="008305BC">
            <w:pPr>
              <w:rPr>
                <w:sz w:val="18"/>
              </w:rPr>
            </w:pPr>
            <w:r>
              <w:rPr>
                <w:rFonts w:ascii="宋体" w:hAnsi="宋体" w:hint="eastAsia"/>
                <w:szCs w:val="21"/>
              </w:rPr>
              <w:t>□</w:t>
            </w:r>
            <w:r>
              <w:rPr>
                <w:sz w:val="18"/>
              </w:rPr>
              <w:t>FTP</w:t>
            </w:r>
          </w:p>
        </w:tc>
        <w:tc>
          <w:tcPr>
            <w:tcW w:w="1549" w:type="dxa"/>
            <w:tcBorders>
              <w:top w:val="single" w:sz="4" w:space="0" w:color="auto"/>
              <w:left w:val="single" w:sz="4" w:space="0" w:color="auto"/>
              <w:bottom w:val="single" w:sz="4" w:space="0" w:color="auto"/>
              <w:right w:val="single" w:sz="4" w:space="0" w:color="auto"/>
            </w:tcBorders>
            <w:vAlign w:val="center"/>
          </w:tcPr>
          <w:p w:rsidR="00026823" w:rsidRDefault="008305BC">
            <w:pPr>
              <w:rPr>
                <w:sz w:val="18"/>
              </w:rPr>
            </w:pPr>
            <w:r>
              <w:rPr>
                <w:rFonts w:hint="eastAsia"/>
                <w:sz w:val="18"/>
              </w:rPr>
              <w:t>快速程序代码</w:t>
            </w:r>
          </w:p>
        </w:tc>
        <w:tc>
          <w:tcPr>
            <w:tcW w:w="1374" w:type="dxa"/>
            <w:gridSpan w:val="2"/>
            <w:tcBorders>
              <w:top w:val="single" w:sz="4" w:space="0" w:color="auto"/>
              <w:left w:val="single" w:sz="4" w:space="0" w:color="auto"/>
              <w:bottom w:val="single" w:sz="4" w:space="0" w:color="auto"/>
              <w:right w:val="single" w:sz="4" w:space="0" w:color="auto"/>
            </w:tcBorders>
            <w:vAlign w:val="center"/>
          </w:tcPr>
          <w:p w:rsidR="00026823" w:rsidRDefault="008305BC">
            <w:pPr>
              <w:rPr>
                <w:sz w:val="18"/>
              </w:rPr>
            </w:pPr>
            <w:r>
              <w:rPr>
                <w:rFonts w:ascii="宋体" w:hAnsi="宋体" w:hint="eastAsia"/>
                <w:szCs w:val="21"/>
              </w:rPr>
              <w:t>□</w:t>
            </w:r>
            <w:r>
              <w:rPr>
                <w:sz w:val="18"/>
              </w:rPr>
              <w:t>B</w:t>
            </w:r>
          </w:p>
        </w:tc>
        <w:tc>
          <w:tcPr>
            <w:tcW w:w="1561" w:type="dxa"/>
            <w:tcBorders>
              <w:top w:val="single" w:sz="4" w:space="0" w:color="auto"/>
              <w:left w:val="single" w:sz="4" w:space="0" w:color="auto"/>
              <w:bottom w:val="single" w:sz="4" w:space="0" w:color="auto"/>
              <w:right w:val="single" w:sz="4" w:space="0" w:color="auto"/>
            </w:tcBorders>
            <w:vAlign w:val="center"/>
          </w:tcPr>
          <w:p w:rsidR="00026823" w:rsidRDefault="008305BC">
            <w:pPr>
              <w:rPr>
                <w:sz w:val="18"/>
              </w:rPr>
            </w:pPr>
            <w:r>
              <w:rPr>
                <w:rFonts w:ascii="宋体" w:hAnsi="宋体" w:hint="eastAsia"/>
                <w:szCs w:val="21"/>
              </w:rPr>
              <w:t>□</w:t>
            </w:r>
            <w:r>
              <w:rPr>
                <w:sz w:val="18"/>
              </w:rPr>
              <w:t>C</w:t>
            </w:r>
          </w:p>
        </w:tc>
      </w:tr>
      <w:tr w:rsidR="00026823">
        <w:trPr>
          <w:trHeight w:val="454"/>
          <w:jc w:val="center"/>
        </w:trPr>
        <w:tc>
          <w:tcPr>
            <w:tcW w:w="1476" w:type="dxa"/>
            <w:tcBorders>
              <w:top w:val="single" w:sz="4" w:space="0" w:color="auto"/>
              <w:left w:val="single" w:sz="4" w:space="0" w:color="auto"/>
              <w:bottom w:val="single" w:sz="4" w:space="0" w:color="auto"/>
              <w:right w:val="single" w:sz="4" w:space="0" w:color="auto"/>
            </w:tcBorders>
            <w:vAlign w:val="center"/>
          </w:tcPr>
          <w:p w:rsidR="00026823" w:rsidRDefault="008305BC">
            <w:pPr>
              <w:rPr>
                <w:rFonts w:ascii="宋体" w:hAnsi="宋体"/>
                <w:sz w:val="18"/>
                <w:szCs w:val="18"/>
              </w:rPr>
            </w:pPr>
            <w:r>
              <w:rPr>
                <w:rFonts w:ascii="宋体" w:hAnsi="宋体"/>
                <w:sz w:val="18"/>
                <w:szCs w:val="18"/>
              </w:rPr>
              <w:t>ICS</w:t>
            </w:r>
            <w:r>
              <w:rPr>
                <w:rFonts w:ascii="宋体" w:hAnsi="宋体" w:hint="eastAsia"/>
                <w:sz w:val="18"/>
                <w:szCs w:val="18"/>
              </w:rPr>
              <w:t>分类号</w:t>
            </w:r>
          </w:p>
        </w:tc>
        <w:tc>
          <w:tcPr>
            <w:tcW w:w="3138" w:type="dxa"/>
            <w:gridSpan w:val="5"/>
            <w:tcBorders>
              <w:top w:val="single" w:sz="4" w:space="0" w:color="auto"/>
              <w:left w:val="single" w:sz="4" w:space="0" w:color="auto"/>
              <w:bottom w:val="single" w:sz="4" w:space="0" w:color="auto"/>
              <w:right w:val="single" w:sz="4" w:space="0" w:color="auto"/>
            </w:tcBorders>
            <w:vAlign w:val="center"/>
          </w:tcPr>
          <w:p w:rsidR="00026823" w:rsidRDefault="008305BC">
            <w:pPr>
              <w:rPr>
                <w:rFonts w:ascii="宋体" w:hAnsi="宋体"/>
                <w:sz w:val="18"/>
                <w:szCs w:val="18"/>
              </w:rPr>
            </w:pPr>
            <w:r>
              <w:rPr>
                <w:rFonts w:hint="eastAsia"/>
                <w:sz w:val="18"/>
                <w:szCs w:val="18"/>
              </w:rPr>
              <w:t>9</w:t>
            </w:r>
            <w:r>
              <w:rPr>
                <w:sz w:val="18"/>
                <w:szCs w:val="18"/>
              </w:rPr>
              <w:t>1.100.10</w:t>
            </w:r>
          </w:p>
        </w:tc>
        <w:tc>
          <w:tcPr>
            <w:tcW w:w="1549" w:type="dxa"/>
            <w:tcBorders>
              <w:top w:val="single" w:sz="4" w:space="0" w:color="auto"/>
              <w:left w:val="single" w:sz="4" w:space="0" w:color="auto"/>
              <w:bottom w:val="single" w:sz="4" w:space="0" w:color="auto"/>
              <w:right w:val="single" w:sz="4" w:space="0" w:color="auto"/>
            </w:tcBorders>
            <w:vAlign w:val="center"/>
          </w:tcPr>
          <w:p w:rsidR="00026823" w:rsidRDefault="008305BC">
            <w:pPr>
              <w:rPr>
                <w:sz w:val="18"/>
              </w:rPr>
            </w:pPr>
            <w:r>
              <w:rPr>
                <w:rFonts w:hint="eastAsia"/>
                <w:sz w:val="18"/>
              </w:rPr>
              <w:t>中国标准分类号</w:t>
            </w:r>
          </w:p>
        </w:tc>
        <w:tc>
          <w:tcPr>
            <w:tcW w:w="2935" w:type="dxa"/>
            <w:gridSpan w:val="3"/>
            <w:tcBorders>
              <w:top w:val="single" w:sz="4" w:space="0" w:color="auto"/>
              <w:left w:val="single" w:sz="4" w:space="0" w:color="auto"/>
              <w:bottom w:val="single" w:sz="4" w:space="0" w:color="auto"/>
              <w:right w:val="single" w:sz="4" w:space="0" w:color="auto"/>
            </w:tcBorders>
            <w:vAlign w:val="center"/>
          </w:tcPr>
          <w:p w:rsidR="00026823" w:rsidRDefault="008305BC">
            <w:pPr>
              <w:rPr>
                <w:sz w:val="18"/>
              </w:rPr>
            </w:pPr>
            <w:r>
              <w:rPr>
                <w:sz w:val="18"/>
                <w:szCs w:val="18"/>
              </w:rPr>
              <w:t>Q</w:t>
            </w:r>
            <w:r>
              <w:rPr>
                <w:rFonts w:hint="eastAsia"/>
                <w:sz w:val="18"/>
                <w:szCs w:val="18"/>
              </w:rPr>
              <w:t>11</w:t>
            </w:r>
          </w:p>
        </w:tc>
      </w:tr>
      <w:tr w:rsidR="002D3CB8" w:rsidRPr="002D3CB8">
        <w:trPr>
          <w:trHeight w:val="454"/>
          <w:jc w:val="center"/>
        </w:trPr>
        <w:tc>
          <w:tcPr>
            <w:tcW w:w="1476" w:type="dxa"/>
            <w:tcBorders>
              <w:top w:val="single" w:sz="4" w:space="0" w:color="auto"/>
              <w:left w:val="single" w:sz="4" w:space="0" w:color="auto"/>
              <w:bottom w:val="single" w:sz="4" w:space="0" w:color="auto"/>
              <w:right w:val="single" w:sz="4" w:space="0" w:color="auto"/>
            </w:tcBorders>
            <w:vAlign w:val="center"/>
          </w:tcPr>
          <w:p w:rsidR="00026823" w:rsidRPr="002D3CB8" w:rsidRDefault="00DB6AF4">
            <w:pPr>
              <w:rPr>
                <w:sz w:val="18"/>
              </w:rPr>
            </w:pPr>
            <w:bookmarkStart w:id="0" w:name="_GoBack"/>
            <w:r w:rsidRPr="002D3CB8">
              <w:rPr>
                <w:rFonts w:hint="eastAsia"/>
                <w:sz w:val="18"/>
                <w:szCs w:val="18"/>
              </w:rPr>
              <w:t>标准主要起草</w:t>
            </w:r>
            <w:r w:rsidR="008305BC" w:rsidRPr="002D3CB8">
              <w:rPr>
                <w:rFonts w:hint="eastAsia"/>
                <w:sz w:val="18"/>
              </w:rPr>
              <w:t>单位</w:t>
            </w:r>
          </w:p>
        </w:tc>
        <w:tc>
          <w:tcPr>
            <w:tcW w:w="3138" w:type="dxa"/>
            <w:gridSpan w:val="5"/>
            <w:tcBorders>
              <w:top w:val="single" w:sz="4" w:space="0" w:color="auto"/>
              <w:left w:val="single" w:sz="4" w:space="0" w:color="auto"/>
              <w:bottom w:val="single" w:sz="4" w:space="0" w:color="auto"/>
              <w:right w:val="single" w:sz="4" w:space="0" w:color="auto"/>
            </w:tcBorders>
            <w:vAlign w:val="center"/>
          </w:tcPr>
          <w:p w:rsidR="00026823" w:rsidRPr="002D3CB8" w:rsidRDefault="008305BC">
            <w:pPr>
              <w:rPr>
                <w:sz w:val="18"/>
              </w:rPr>
            </w:pPr>
            <w:r w:rsidRPr="002D3CB8">
              <w:rPr>
                <w:rFonts w:hint="eastAsia"/>
                <w:sz w:val="18"/>
                <w:szCs w:val="18"/>
              </w:rPr>
              <w:t>北京国建联信认证中心有限公司</w:t>
            </w:r>
            <w:r w:rsidR="00DB6AF4" w:rsidRPr="002D3CB8">
              <w:rPr>
                <w:rFonts w:hint="eastAsia"/>
                <w:sz w:val="18"/>
                <w:szCs w:val="18"/>
              </w:rPr>
              <w:t>等</w:t>
            </w:r>
          </w:p>
        </w:tc>
        <w:tc>
          <w:tcPr>
            <w:tcW w:w="1549" w:type="dxa"/>
            <w:tcBorders>
              <w:top w:val="single" w:sz="4" w:space="0" w:color="auto"/>
              <w:left w:val="single" w:sz="4" w:space="0" w:color="auto"/>
              <w:bottom w:val="single" w:sz="4" w:space="0" w:color="auto"/>
              <w:right w:val="single" w:sz="4" w:space="0" w:color="auto"/>
            </w:tcBorders>
            <w:vAlign w:val="center"/>
          </w:tcPr>
          <w:p w:rsidR="00026823" w:rsidRPr="002D3CB8" w:rsidRDefault="00DB6AF4">
            <w:pPr>
              <w:ind w:firstLineChars="100" w:firstLine="180"/>
              <w:rPr>
                <w:sz w:val="18"/>
              </w:rPr>
            </w:pPr>
            <w:r w:rsidRPr="002D3CB8">
              <w:rPr>
                <w:rFonts w:hint="eastAsia"/>
                <w:sz w:val="18"/>
              </w:rPr>
              <w:t>计划起止时间</w:t>
            </w:r>
          </w:p>
        </w:tc>
        <w:tc>
          <w:tcPr>
            <w:tcW w:w="2935" w:type="dxa"/>
            <w:gridSpan w:val="3"/>
            <w:tcBorders>
              <w:top w:val="single" w:sz="4" w:space="0" w:color="auto"/>
              <w:left w:val="single" w:sz="4" w:space="0" w:color="auto"/>
              <w:bottom w:val="single" w:sz="4" w:space="0" w:color="auto"/>
              <w:right w:val="single" w:sz="4" w:space="0" w:color="auto"/>
            </w:tcBorders>
            <w:vAlign w:val="center"/>
          </w:tcPr>
          <w:p w:rsidR="00026823" w:rsidRPr="002D3CB8" w:rsidRDefault="00DB6AF4">
            <w:pPr>
              <w:rPr>
                <w:sz w:val="18"/>
              </w:rPr>
            </w:pPr>
            <w:r w:rsidRPr="002D3CB8">
              <w:rPr>
                <w:sz w:val="18"/>
              </w:rPr>
              <w:t>2024.8</w:t>
            </w:r>
            <w:r w:rsidRPr="002D3CB8">
              <w:rPr>
                <w:rFonts w:hint="eastAsia"/>
                <w:sz w:val="18"/>
              </w:rPr>
              <w:t>至</w:t>
            </w:r>
            <w:r w:rsidRPr="002D3CB8">
              <w:rPr>
                <w:sz w:val="18"/>
              </w:rPr>
              <w:t>2025.7</w:t>
            </w:r>
          </w:p>
        </w:tc>
      </w:tr>
      <w:bookmarkEnd w:id="0"/>
      <w:tr w:rsidR="00026823">
        <w:trPr>
          <w:trHeight w:val="1112"/>
          <w:jc w:val="center"/>
        </w:trPr>
        <w:tc>
          <w:tcPr>
            <w:tcW w:w="1476" w:type="dxa"/>
            <w:tcBorders>
              <w:top w:val="single" w:sz="4" w:space="0" w:color="auto"/>
              <w:left w:val="single" w:sz="4" w:space="0" w:color="auto"/>
              <w:bottom w:val="single" w:sz="4" w:space="0" w:color="auto"/>
              <w:right w:val="single" w:sz="4" w:space="0" w:color="auto"/>
            </w:tcBorders>
            <w:vAlign w:val="center"/>
          </w:tcPr>
          <w:p w:rsidR="00026823" w:rsidRDefault="008305BC">
            <w:pPr>
              <w:rPr>
                <w:sz w:val="18"/>
              </w:rPr>
            </w:pPr>
            <w:r>
              <w:rPr>
                <w:rFonts w:hint="eastAsia"/>
                <w:sz w:val="18"/>
              </w:rPr>
              <w:t>目的、意义或必要性</w:t>
            </w:r>
          </w:p>
        </w:tc>
        <w:tc>
          <w:tcPr>
            <w:tcW w:w="7622" w:type="dxa"/>
            <w:gridSpan w:val="9"/>
            <w:tcBorders>
              <w:top w:val="single" w:sz="4" w:space="0" w:color="auto"/>
              <w:left w:val="single" w:sz="4" w:space="0" w:color="auto"/>
              <w:bottom w:val="single" w:sz="4" w:space="0" w:color="auto"/>
              <w:right w:val="single" w:sz="4" w:space="0" w:color="auto"/>
            </w:tcBorders>
            <w:vAlign w:val="center"/>
          </w:tcPr>
          <w:p w:rsidR="00026823" w:rsidRDefault="008305BC">
            <w:pPr>
              <w:snapToGrid w:val="0"/>
              <w:spacing w:line="360" w:lineRule="auto"/>
              <w:ind w:firstLineChars="200" w:firstLine="360"/>
              <w:rPr>
                <w:sz w:val="18"/>
                <w:szCs w:val="18"/>
              </w:rPr>
            </w:pPr>
            <w:r>
              <w:rPr>
                <w:rFonts w:hint="eastAsia"/>
                <w:sz w:val="18"/>
                <w:szCs w:val="18"/>
              </w:rPr>
              <w:t>2022</w:t>
            </w:r>
            <w:r>
              <w:rPr>
                <w:rFonts w:hint="eastAsia"/>
                <w:sz w:val="18"/>
                <w:szCs w:val="18"/>
              </w:rPr>
              <w:t>年</w:t>
            </w:r>
            <w:r>
              <w:rPr>
                <w:rFonts w:hint="eastAsia"/>
                <w:sz w:val="18"/>
                <w:szCs w:val="18"/>
              </w:rPr>
              <w:t>8</w:t>
            </w:r>
            <w:r>
              <w:rPr>
                <w:rFonts w:hint="eastAsia"/>
                <w:sz w:val="18"/>
                <w:szCs w:val="18"/>
              </w:rPr>
              <w:t>月</w:t>
            </w:r>
            <w:r>
              <w:rPr>
                <w:rFonts w:hint="eastAsia"/>
                <w:sz w:val="18"/>
                <w:szCs w:val="18"/>
              </w:rPr>
              <w:t>19</w:t>
            </w:r>
            <w:r>
              <w:rPr>
                <w:rFonts w:hint="eastAsia"/>
                <w:sz w:val="18"/>
                <w:szCs w:val="18"/>
              </w:rPr>
              <w:t>日，国家发展改革委、国家统计局、生态环境部联合印发《关于加快建立统一规范的碳排放统计核算体系实施方案》，指出“大型跨国公司从供应链及生命周期角度对产品碳核算产生倒逼效应，原有的碳排放统计核算体系面临多重挑战，亟需坚持问题导向，尽快健全完善。”因此，构建更为完善的碳排放核算体系对我国实现碳中和目标至关重要。</w:t>
            </w:r>
          </w:p>
          <w:p w:rsidR="00026823" w:rsidRDefault="008305BC">
            <w:pPr>
              <w:snapToGrid w:val="0"/>
              <w:spacing w:line="360" w:lineRule="auto"/>
              <w:ind w:firstLineChars="200" w:firstLine="360"/>
              <w:rPr>
                <w:sz w:val="18"/>
                <w:szCs w:val="18"/>
              </w:rPr>
            </w:pPr>
            <w:r>
              <w:rPr>
                <w:rFonts w:hint="eastAsia"/>
                <w:sz w:val="18"/>
                <w:szCs w:val="18"/>
              </w:rPr>
              <w:t>水泥作为我国建材市场主要产品之一，自</w:t>
            </w:r>
            <w:r>
              <w:rPr>
                <w:rFonts w:hint="eastAsia"/>
                <w:sz w:val="18"/>
                <w:szCs w:val="18"/>
              </w:rPr>
              <w:t xml:space="preserve"> 1985 </w:t>
            </w:r>
            <w:r>
              <w:rPr>
                <w:rFonts w:hint="eastAsia"/>
                <w:sz w:val="18"/>
                <w:szCs w:val="18"/>
              </w:rPr>
              <w:t>年以来，产量已连续</w:t>
            </w:r>
            <w:r>
              <w:rPr>
                <w:rFonts w:hint="eastAsia"/>
                <w:sz w:val="18"/>
                <w:szCs w:val="18"/>
              </w:rPr>
              <w:t xml:space="preserve"> 38</w:t>
            </w:r>
            <w:r>
              <w:rPr>
                <w:rFonts w:hint="eastAsia"/>
                <w:sz w:val="18"/>
                <w:szCs w:val="18"/>
              </w:rPr>
              <w:t>年稳居世界第一，目前产量约占世界水泥总产量的</w:t>
            </w:r>
            <w:r>
              <w:rPr>
                <w:rFonts w:hint="eastAsia"/>
                <w:sz w:val="18"/>
                <w:szCs w:val="18"/>
              </w:rPr>
              <w:t>55%</w:t>
            </w:r>
            <w:r>
              <w:rPr>
                <w:rFonts w:hint="eastAsia"/>
                <w:sz w:val="18"/>
                <w:szCs w:val="18"/>
              </w:rPr>
              <w:t>，人均水泥消费量约</w:t>
            </w:r>
            <w:r>
              <w:rPr>
                <w:rFonts w:hint="eastAsia"/>
                <w:sz w:val="18"/>
                <w:szCs w:val="18"/>
              </w:rPr>
              <w:t>1420</w:t>
            </w:r>
            <w:r>
              <w:rPr>
                <w:rFonts w:hint="eastAsia"/>
                <w:sz w:val="18"/>
                <w:szCs w:val="18"/>
              </w:rPr>
              <w:t>千克，远高于发达国家人均</w:t>
            </w:r>
            <w:r>
              <w:rPr>
                <w:rFonts w:hint="eastAsia"/>
                <w:sz w:val="18"/>
                <w:szCs w:val="18"/>
              </w:rPr>
              <w:t>220-500</w:t>
            </w:r>
            <w:r>
              <w:rPr>
                <w:rFonts w:hint="eastAsia"/>
                <w:sz w:val="18"/>
                <w:szCs w:val="18"/>
              </w:rPr>
              <w:t>千克的水泥消费峰值。水泥属于能源资源密集型行业，也是我国</w:t>
            </w:r>
            <w:r>
              <w:rPr>
                <w:rFonts w:hint="eastAsia"/>
                <w:sz w:val="18"/>
                <w:szCs w:val="18"/>
              </w:rPr>
              <w:t>CO</w:t>
            </w:r>
            <w:r>
              <w:rPr>
                <w:rFonts w:hint="eastAsia"/>
                <w:sz w:val="18"/>
                <w:szCs w:val="18"/>
                <w:vertAlign w:val="subscript"/>
              </w:rPr>
              <w:t>2</w:t>
            </w:r>
            <w:r>
              <w:rPr>
                <w:rFonts w:hint="eastAsia"/>
                <w:sz w:val="18"/>
                <w:szCs w:val="18"/>
              </w:rPr>
              <w:t>排放量的重要来源，据统计水泥行业的碳排放量约占全国碳排放总量的</w:t>
            </w:r>
            <w:r>
              <w:rPr>
                <w:rFonts w:hint="eastAsia"/>
                <w:sz w:val="18"/>
                <w:szCs w:val="18"/>
              </w:rPr>
              <w:t>12%</w:t>
            </w:r>
            <w:r>
              <w:rPr>
                <w:rFonts w:hint="eastAsia"/>
                <w:sz w:val="18"/>
                <w:szCs w:val="18"/>
              </w:rPr>
              <w:t>。</w:t>
            </w:r>
          </w:p>
          <w:p w:rsidR="00026823" w:rsidRDefault="008305BC">
            <w:pPr>
              <w:snapToGrid w:val="0"/>
              <w:spacing w:line="360" w:lineRule="auto"/>
              <w:ind w:firstLineChars="200" w:firstLine="360"/>
              <w:rPr>
                <w:sz w:val="18"/>
                <w:szCs w:val="18"/>
              </w:rPr>
            </w:pPr>
            <w:r>
              <w:rPr>
                <w:rFonts w:hint="eastAsia"/>
                <w:sz w:val="18"/>
                <w:szCs w:val="18"/>
              </w:rPr>
              <w:t>按世界资源研究所（</w:t>
            </w:r>
            <w:r>
              <w:rPr>
                <w:rFonts w:hint="eastAsia"/>
                <w:sz w:val="18"/>
                <w:szCs w:val="18"/>
              </w:rPr>
              <w:t>WRI</w:t>
            </w:r>
            <w:r>
              <w:rPr>
                <w:rFonts w:hint="eastAsia"/>
                <w:sz w:val="18"/>
                <w:szCs w:val="18"/>
              </w:rPr>
              <w:t>）的相关分类，碳排放可划分为三类：企业化石燃料消耗以及工艺过程产生的直接排放、由企业用电及热力产生的间接排放（即范围二排放），以及企业上下游价值</w:t>
            </w:r>
            <w:proofErr w:type="gramStart"/>
            <w:r>
              <w:rPr>
                <w:rFonts w:hint="eastAsia"/>
                <w:sz w:val="18"/>
                <w:szCs w:val="18"/>
              </w:rPr>
              <w:t>链产生</w:t>
            </w:r>
            <w:proofErr w:type="gramEnd"/>
            <w:r>
              <w:rPr>
                <w:rFonts w:hint="eastAsia"/>
                <w:sz w:val="18"/>
                <w:szCs w:val="18"/>
              </w:rPr>
              <w:t>的间接排放（即范围三排放）。据世界可持续发展工商理事会（</w:t>
            </w:r>
            <w:r>
              <w:rPr>
                <w:rFonts w:hint="eastAsia"/>
                <w:sz w:val="18"/>
                <w:szCs w:val="18"/>
              </w:rPr>
              <w:t>WBCSD</w:t>
            </w:r>
            <w:r>
              <w:rPr>
                <w:rFonts w:hint="eastAsia"/>
                <w:sz w:val="18"/>
                <w:szCs w:val="18"/>
              </w:rPr>
              <w:t>）项目数据统计，水泥行业范围</w:t>
            </w:r>
            <w:proofErr w:type="gramStart"/>
            <w:r>
              <w:rPr>
                <w:rFonts w:hint="eastAsia"/>
                <w:sz w:val="18"/>
                <w:szCs w:val="18"/>
              </w:rPr>
              <w:t>一排放约总排放量</w:t>
            </w:r>
            <w:proofErr w:type="gramEnd"/>
            <w:r>
              <w:rPr>
                <w:rFonts w:hint="eastAsia"/>
                <w:sz w:val="18"/>
                <w:szCs w:val="18"/>
              </w:rPr>
              <w:t>的</w:t>
            </w:r>
            <w:r>
              <w:rPr>
                <w:rFonts w:hint="eastAsia"/>
                <w:sz w:val="18"/>
                <w:szCs w:val="18"/>
              </w:rPr>
              <w:t>76%</w:t>
            </w:r>
            <w:r>
              <w:rPr>
                <w:rFonts w:hint="eastAsia"/>
                <w:sz w:val="18"/>
                <w:szCs w:val="18"/>
              </w:rPr>
              <w:t>，</w:t>
            </w:r>
            <w:r>
              <w:rPr>
                <w:rFonts w:hint="eastAsia"/>
                <w:sz w:val="18"/>
                <w:szCs w:val="18"/>
              </w:rPr>
              <w:t>7%</w:t>
            </w:r>
            <w:r>
              <w:rPr>
                <w:rFonts w:hint="eastAsia"/>
                <w:sz w:val="18"/>
                <w:szCs w:val="18"/>
              </w:rPr>
              <w:t>的碳排放量来源于范围二，范围三排放量约占总排放量的</w:t>
            </w:r>
            <w:r>
              <w:rPr>
                <w:rFonts w:hint="eastAsia"/>
                <w:sz w:val="18"/>
                <w:szCs w:val="18"/>
              </w:rPr>
              <w:t xml:space="preserve"> 17%</w:t>
            </w:r>
            <w:r>
              <w:rPr>
                <w:rFonts w:hint="eastAsia"/>
                <w:sz w:val="18"/>
                <w:szCs w:val="18"/>
              </w:rPr>
              <w:t>。</w:t>
            </w:r>
          </w:p>
          <w:p w:rsidR="00026823" w:rsidRDefault="008305BC">
            <w:pPr>
              <w:snapToGrid w:val="0"/>
              <w:spacing w:line="360" w:lineRule="auto"/>
              <w:ind w:firstLineChars="200" w:firstLine="360"/>
              <w:rPr>
                <w:sz w:val="18"/>
                <w:szCs w:val="18"/>
              </w:rPr>
            </w:pPr>
            <w:r>
              <w:rPr>
                <w:rFonts w:hint="eastAsia"/>
                <w:sz w:val="18"/>
                <w:szCs w:val="18"/>
              </w:rPr>
              <w:t>作为</w:t>
            </w:r>
            <w:proofErr w:type="gramStart"/>
            <w:r>
              <w:rPr>
                <w:rFonts w:hint="eastAsia"/>
                <w:sz w:val="18"/>
                <w:szCs w:val="18"/>
              </w:rPr>
              <w:t>碳市场</w:t>
            </w:r>
            <w:proofErr w:type="gramEnd"/>
            <w:r>
              <w:rPr>
                <w:rFonts w:hint="eastAsia"/>
                <w:sz w:val="18"/>
                <w:szCs w:val="18"/>
              </w:rPr>
              <w:t>纳入控排行业，水泥企业对碳排放的管理日益重视，针对水泥生产企业发布了</w:t>
            </w:r>
            <w:r>
              <w:rPr>
                <w:rFonts w:hint="eastAsia"/>
                <w:sz w:val="18"/>
                <w:szCs w:val="18"/>
              </w:rPr>
              <w:t>GB/T 32151.8</w:t>
            </w:r>
            <w:r>
              <w:rPr>
                <w:rFonts w:hint="eastAsia"/>
                <w:sz w:val="18"/>
                <w:szCs w:val="18"/>
              </w:rPr>
              <w:t>《温室气体排放核算与报告要求</w:t>
            </w:r>
            <w:r>
              <w:rPr>
                <w:rFonts w:hint="eastAsia"/>
                <w:sz w:val="18"/>
                <w:szCs w:val="18"/>
              </w:rPr>
              <w:t xml:space="preserve"> </w:t>
            </w:r>
            <w:r>
              <w:rPr>
                <w:rFonts w:hint="eastAsia"/>
                <w:sz w:val="18"/>
                <w:szCs w:val="18"/>
              </w:rPr>
              <w:t>第</w:t>
            </w:r>
            <w:r>
              <w:rPr>
                <w:rFonts w:hint="eastAsia"/>
                <w:sz w:val="18"/>
                <w:szCs w:val="18"/>
              </w:rPr>
              <w:t>8</w:t>
            </w:r>
            <w:r>
              <w:rPr>
                <w:rFonts w:hint="eastAsia"/>
                <w:sz w:val="18"/>
                <w:szCs w:val="18"/>
              </w:rPr>
              <w:t>部分：水泥生产企业》，生态环境部</w:t>
            </w:r>
            <w:r>
              <w:rPr>
                <w:rFonts w:hint="eastAsia"/>
                <w:sz w:val="18"/>
                <w:szCs w:val="18"/>
              </w:rPr>
              <w:t>2024</w:t>
            </w:r>
            <w:r>
              <w:rPr>
                <w:rFonts w:hint="eastAsia"/>
                <w:sz w:val="18"/>
                <w:szCs w:val="18"/>
              </w:rPr>
              <w:t>年发布《企业温室气体排放核算与报告指南</w:t>
            </w:r>
            <w:r>
              <w:rPr>
                <w:rFonts w:hint="eastAsia"/>
                <w:sz w:val="18"/>
                <w:szCs w:val="18"/>
              </w:rPr>
              <w:t xml:space="preserve"> </w:t>
            </w:r>
            <w:r>
              <w:rPr>
                <w:rFonts w:hint="eastAsia"/>
                <w:sz w:val="18"/>
                <w:szCs w:val="18"/>
              </w:rPr>
              <w:t>水泥熟料生产》以及《企业温室气体排放核查技术指南</w:t>
            </w:r>
            <w:r>
              <w:rPr>
                <w:rFonts w:hint="eastAsia"/>
                <w:sz w:val="18"/>
                <w:szCs w:val="18"/>
              </w:rPr>
              <w:t xml:space="preserve"> </w:t>
            </w:r>
            <w:r>
              <w:rPr>
                <w:rFonts w:hint="eastAsia"/>
                <w:sz w:val="18"/>
                <w:szCs w:val="18"/>
              </w:rPr>
              <w:t>水泥熟料生产》文件，进一步明确了水泥企业直接排放与范围二间接排放的核算要求。</w:t>
            </w:r>
          </w:p>
          <w:p w:rsidR="00026823" w:rsidRDefault="008305BC">
            <w:pPr>
              <w:snapToGrid w:val="0"/>
              <w:spacing w:line="360" w:lineRule="auto"/>
              <w:ind w:firstLineChars="200" w:firstLine="360"/>
              <w:rPr>
                <w:sz w:val="18"/>
                <w:szCs w:val="18"/>
              </w:rPr>
            </w:pPr>
            <w:r>
              <w:rPr>
                <w:rFonts w:hint="eastAsia"/>
                <w:sz w:val="18"/>
                <w:szCs w:val="18"/>
              </w:rPr>
              <w:t>目前我国水泥行业碳排放核算体系中仍缺少对水泥生产企业价值链（即“范围三”）排放核算标准。但水泥行业头部企业如台湾水泥股份有限公司已依据国际标准开展价值链（范围三）温室气体排放核查工作，尽快制定具有行业特性的价值链温室气体核算标准有助于企业精准核算与减碳。</w:t>
            </w:r>
          </w:p>
          <w:p w:rsidR="00026823" w:rsidRDefault="008305BC">
            <w:pPr>
              <w:snapToGrid w:val="0"/>
              <w:spacing w:line="360" w:lineRule="auto"/>
              <w:ind w:firstLineChars="200" w:firstLine="360"/>
              <w:rPr>
                <w:sz w:val="18"/>
                <w:szCs w:val="18"/>
              </w:rPr>
            </w:pPr>
            <w:r>
              <w:rPr>
                <w:rFonts w:hint="eastAsia"/>
                <w:sz w:val="18"/>
                <w:szCs w:val="18"/>
              </w:rPr>
              <w:t>国际市场正逐步提高对企业范围三披露要求，国际可持续准则理事会（</w:t>
            </w:r>
            <w:r>
              <w:rPr>
                <w:rFonts w:hint="eastAsia"/>
                <w:sz w:val="18"/>
                <w:szCs w:val="18"/>
              </w:rPr>
              <w:t>ISSB</w:t>
            </w:r>
            <w:r>
              <w:rPr>
                <w:rFonts w:hint="eastAsia"/>
                <w:sz w:val="18"/>
                <w:szCs w:val="18"/>
              </w:rPr>
              <w:t>）于</w:t>
            </w:r>
            <w:r>
              <w:rPr>
                <w:rFonts w:hint="eastAsia"/>
                <w:sz w:val="18"/>
                <w:szCs w:val="18"/>
              </w:rPr>
              <w:t>2023</w:t>
            </w:r>
            <w:r>
              <w:rPr>
                <w:rFonts w:hint="eastAsia"/>
                <w:sz w:val="18"/>
                <w:szCs w:val="18"/>
              </w:rPr>
              <w:t>年</w:t>
            </w:r>
            <w:r>
              <w:rPr>
                <w:rFonts w:hint="eastAsia"/>
                <w:sz w:val="18"/>
                <w:szCs w:val="18"/>
              </w:rPr>
              <w:t>6</w:t>
            </w:r>
            <w:r>
              <w:rPr>
                <w:rFonts w:hint="eastAsia"/>
                <w:sz w:val="18"/>
                <w:szCs w:val="18"/>
              </w:rPr>
              <w:t>月</w:t>
            </w:r>
            <w:r>
              <w:rPr>
                <w:rFonts w:hint="eastAsia"/>
                <w:sz w:val="18"/>
                <w:szCs w:val="18"/>
              </w:rPr>
              <w:t>26</w:t>
            </w:r>
            <w:r>
              <w:rPr>
                <w:rFonts w:hint="eastAsia"/>
                <w:sz w:val="18"/>
                <w:szCs w:val="18"/>
              </w:rPr>
              <w:t>日正式对外发布的《国际财务报告可持续披露准则第</w:t>
            </w:r>
            <w:r>
              <w:rPr>
                <w:rFonts w:hint="eastAsia"/>
                <w:sz w:val="18"/>
                <w:szCs w:val="18"/>
              </w:rPr>
              <w:t>2</w:t>
            </w:r>
            <w:r>
              <w:rPr>
                <w:rFonts w:hint="eastAsia"/>
                <w:sz w:val="18"/>
                <w:szCs w:val="18"/>
              </w:rPr>
              <w:t>号——气候相关披露》（</w:t>
            </w:r>
            <w:r>
              <w:rPr>
                <w:rFonts w:hint="eastAsia"/>
                <w:sz w:val="18"/>
                <w:szCs w:val="18"/>
              </w:rPr>
              <w:t>IFRS S2</w:t>
            </w:r>
            <w:r>
              <w:rPr>
                <w:rFonts w:hint="eastAsia"/>
                <w:sz w:val="18"/>
                <w:szCs w:val="18"/>
              </w:rPr>
              <w:t>）</w:t>
            </w:r>
            <w:r>
              <w:rPr>
                <w:rFonts w:hint="eastAsia"/>
                <w:sz w:val="18"/>
                <w:szCs w:val="18"/>
              </w:rPr>
              <w:lastRenderedPageBreak/>
              <w:t>中要求所有企业披露范围三温室气体排放的信息；《欧洲可持续发展报告准则第</w:t>
            </w:r>
            <w:r>
              <w:rPr>
                <w:rFonts w:hint="eastAsia"/>
                <w:sz w:val="18"/>
                <w:szCs w:val="18"/>
              </w:rPr>
              <w:t>E1</w:t>
            </w:r>
            <w:r>
              <w:rPr>
                <w:rFonts w:hint="eastAsia"/>
                <w:sz w:val="18"/>
                <w:szCs w:val="18"/>
              </w:rPr>
              <w:t>号——气候变化》（</w:t>
            </w:r>
            <w:r>
              <w:rPr>
                <w:rFonts w:hint="eastAsia"/>
                <w:sz w:val="18"/>
                <w:szCs w:val="18"/>
              </w:rPr>
              <w:t>ESRS E1</w:t>
            </w:r>
            <w:r>
              <w:rPr>
                <w:rFonts w:hint="eastAsia"/>
                <w:sz w:val="18"/>
                <w:szCs w:val="18"/>
              </w:rPr>
              <w:t>）要求报告主体于温室气体排放总量中，披露范围三温室气体排放总量。范围三温室气体核算也成为企业设定“科学碳目标（</w:t>
            </w:r>
            <w:proofErr w:type="spellStart"/>
            <w:r>
              <w:rPr>
                <w:rFonts w:hint="eastAsia"/>
                <w:sz w:val="18"/>
                <w:szCs w:val="18"/>
              </w:rPr>
              <w:t>SBTi</w:t>
            </w:r>
            <w:proofErr w:type="spellEnd"/>
            <w:r>
              <w:rPr>
                <w:rFonts w:hint="eastAsia"/>
                <w:sz w:val="18"/>
                <w:szCs w:val="18"/>
              </w:rPr>
              <w:t>）”的基本要求。</w:t>
            </w:r>
          </w:p>
          <w:p w:rsidR="00026823" w:rsidRDefault="008305BC">
            <w:pPr>
              <w:snapToGrid w:val="0"/>
              <w:spacing w:line="360" w:lineRule="auto"/>
              <w:ind w:firstLineChars="200" w:firstLine="360"/>
              <w:rPr>
                <w:sz w:val="18"/>
                <w:szCs w:val="18"/>
              </w:rPr>
            </w:pPr>
            <w:r>
              <w:rPr>
                <w:rFonts w:hint="eastAsia"/>
                <w:sz w:val="18"/>
                <w:szCs w:val="18"/>
              </w:rPr>
              <w:t>因此，开展水泥企业价值链温室气体排放核算工作，有助于进一步完善我国碳排放核算体系，同时帮助企业全面管理与温室气体相关的风险和机遇，推动水泥行业全链条减碳，与水泥</w:t>
            </w:r>
            <w:proofErr w:type="gramStart"/>
            <w:r>
              <w:rPr>
                <w:rFonts w:hint="eastAsia"/>
                <w:sz w:val="18"/>
                <w:szCs w:val="18"/>
              </w:rPr>
              <w:t>行业碳排放权</w:t>
            </w:r>
            <w:proofErr w:type="gramEnd"/>
            <w:r>
              <w:rPr>
                <w:rFonts w:hint="eastAsia"/>
                <w:sz w:val="18"/>
                <w:szCs w:val="18"/>
              </w:rPr>
              <w:t>交易机制形成有效互补作用。</w:t>
            </w:r>
          </w:p>
          <w:p w:rsidR="00026823" w:rsidRDefault="008305BC">
            <w:pPr>
              <w:snapToGrid w:val="0"/>
              <w:spacing w:line="360" w:lineRule="auto"/>
              <w:ind w:firstLineChars="200" w:firstLine="360"/>
              <w:rPr>
                <w:sz w:val="18"/>
              </w:rPr>
            </w:pPr>
            <w:r>
              <w:rPr>
                <w:rFonts w:hint="eastAsia"/>
                <w:sz w:val="18"/>
                <w:szCs w:val="18"/>
              </w:rPr>
              <w:t>本标准为水泥行业提供一套标准化的温室气体核算方法，同时规范企业核算价值链温室气体排放报告格式，以帮助水泥生产企业核算价值链温室气体排放量，全面了解其价值链温室气体排放影响，制定有效的企业可持续发展战略，将精力集中放在最大的温室气体减</w:t>
            </w:r>
            <w:proofErr w:type="gramStart"/>
            <w:r>
              <w:rPr>
                <w:rFonts w:hint="eastAsia"/>
                <w:sz w:val="18"/>
                <w:szCs w:val="18"/>
              </w:rPr>
              <w:t>排机会</w:t>
            </w:r>
            <w:proofErr w:type="gramEnd"/>
            <w:r>
              <w:rPr>
                <w:rFonts w:hint="eastAsia"/>
                <w:sz w:val="18"/>
                <w:szCs w:val="18"/>
              </w:rPr>
              <w:t>上，使企业的活动及产品购买、销售和生产决策更具可持续性。</w:t>
            </w:r>
          </w:p>
        </w:tc>
      </w:tr>
      <w:tr w:rsidR="00026823">
        <w:trPr>
          <w:trHeight w:val="1545"/>
          <w:jc w:val="center"/>
        </w:trPr>
        <w:tc>
          <w:tcPr>
            <w:tcW w:w="1476" w:type="dxa"/>
            <w:tcBorders>
              <w:top w:val="single" w:sz="4" w:space="0" w:color="auto"/>
              <w:left w:val="single" w:sz="4" w:space="0" w:color="auto"/>
              <w:bottom w:val="single" w:sz="4" w:space="0" w:color="auto"/>
              <w:right w:val="single" w:sz="4" w:space="0" w:color="auto"/>
            </w:tcBorders>
            <w:vAlign w:val="center"/>
          </w:tcPr>
          <w:p w:rsidR="00026823" w:rsidRDefault="008305BC">
            <w:pPr>
              <w:rPr>
                <w:sz w:val="18"/>
              </w:rPr>
            </w:pPr>
            <w:r>
              <w:rPr>
                <w:rFonts w:hint="eastAsia"/>
                <w:sz w:val="18"/>
              </w:rPr>
              <w:lastRenderedPageBreak/>
              <w:t>范围和主要</w:t>
            </w:r>
          </w:p>
          <w:p w:rsidR="00026823" w:rsidRDefault="008305BC">
            <w:pPr>
              <w:rPr>
                <w:sz w:val="18"/>
              </w:rPr>
            </w:pPr>
            <w:r>
              <w:rPr>
                <w:rFonts w:hint="eastAsia"/>
                <w:sz w:val="18"/>
              </w:rPr>
              <w:t>技术内容</w:t>
            </w:r>
          </w:p>
        </w:tc>
        <w:tc>
          <w:tcPr>
            <w:tcW w:w="7622" w:type="dxa"/>
            <w:gridSpan w:val="9"/>
            <w:tcBorders>
              <w:top w:val="single" w:sz="4" w:space="0" w:color="auto"/>
              <w:left w:val="single" w:sz="4" w:space="0" w:color="auto"/>
              <w:bottom w:val="single" w:sz="4" w:space="0" w:color="auto"/>
              <w:right w:val="single" w:sz="4" w:space="0" w:color="auto"/>
            </w:tcBorders>
            <w:vAlign w:val="center"/>
          </w:tcPr>
          <w:p w:rsidR="00026823" w:rsidRDefault="008305BC">
            <w:pPr>
              <w:snapToGrid w:val="0"/>
              <w:spacing w:line="360" w:lineRule="auto"/>
              <w:ind w:firstLineChars="200" w:firstLine="360"/>
              <w:rPr>
                <w:sz w:val="18"/>
                <w:szCs w:val="18"/>
              </w:rPr>
            </w:pPr>
            <w:r>
              <w:rPr>
                <w:sz w:val="18"/>
                <w:szCs w:val="18"/>
              </w:rPr>
              <w:t>本文件规定了水泥生产企业范围三温室气体排放核算与报告工作流程，包括核算与报告原则、核算要求、核算方法、报告内容和格式等。本文件适用于水泥生产企业，同时为预拌混凝土或砂石骨料生产企业提供一定参考。</w:t>
            </w:r>
          </w:p>
          <w:p w:rsidR="00026823" w:rsidRDefault="008305BC">
            <w:pPr>
              <w:snapToGrid w:val="0"/>
              <w:spacing w:line="360" w:lineRule="auto"/>
              <w:ind w:firstLineChars="200" w:firstLine="361"/>
              <w:rPr>
                <w:b/>
                <w:bCs/>
                <w:sz w:val="18"/>
                <w:szCs w:val="18"/>
              </w:rPr>
            </w:pPr>
            <w:r>
              <w:rPr>
                <w:b/>
                <w:bCs/>
                <w:sz w:val="18"/>
                <w:szCs w:val="18"/>
              </w:rPr>
              <w:t>主要技术内容如下：</w:t>
            </w:r>
          </w:p>
          <w:p w:rsidR="00026823" w:rsidRDefault="008305BC">
            <w:pPr>
              <w:numPr>
                <w:ilvl w:val="0"/>
                <w:numId w:val="1"/>
              </w:numPr>
              <w:snapToGrid w:val="0"/>
              <w:spacing w:line="360" w:lineRule="auto"/>
              <w:ind w:firstLineChars="200" w:firstLine="360"/>
              <w:rPr>
                <w:sz w:val="18"/>
                <w:szCs w:val="18"/>
              </w:rPr>
            </w:pPr>
            <w:r>
              <w:rPr>
                <w:sz w:val="18"/>
                <w:szCs w:val="18"/>
              </w:rPr>
              <w:t>核算与报告原则：范围三清单的温室气体核算与报告应遵循相关性、完整性、一致性、透明性和准确性原则。</w:t>
            </w:r>
          </w:p>
          <w:p w:rsidR="00026823" w:rsidRDefault="008305BC">
            <w:pPr>
              <w:numPr>
                <w:ilvl w:val="0"/>
                <w:numId w:val="1"/>
              </w:numPr>
              <w:snapToGrid w:val="0"/>
              <w:spacing w:line="360" w:lineRule="auto"/>
              <w:ind w:firstLineChars="200" w:firstLine="360"/>
              <w:rPr>
                <w:sz w:val="18"/>
                <w:szCs w:val="18"/>
              </w:rPr>
            </w:pPr>
            <w:r>
              <w:rPr>
                <w:sz w:val="18"/>
                <w:szCs w:val="18"/>
              </w:rPr>
              <w:t>核算要求：本</w:t>
            </w:r>
            <w:r>
              <w:rPr>
                <w:rFonts w:hint="eastAsia"/>
                <w:sz w:val="18"/>
                <w:szCs w:val="18"/>
              </w:rPr>
              <w:t>文件</w:t>
            </w:r>
            <w:r>
              <w:rPr>
                <w:sz w:val="18"/>
                <w:szCs w:val="18"/>
              </w:rPr>
              <w:t>要求水泥企业范围三排放重点报告以下</w:t>
            </w:r>
            <w:r>
              <w:rPr>
                <w:sz w:val="18"/>
                <w:szCs w:val="18"/>
              </w:rPr>
              <w:t>7</w:t>
            </w:r>
            <w:r>
              <w:rPr>
                <w:sz w:val="18"/>
                <w:szCs w:val="18"/>
              </w:rPr>
              <w:t>类内容：</w:t>
            </w:r>
            <w:r>
              <w:rPr>
                <w:sz w:val="18"/>
                <w:szCs w:val="18"/>
              </w:rPr>
              <w:t>a.</w:t>
            </w:r>
            <w:r>
              <w:rPr>
                <w:sz w:val="18"/>
                <w:szCs w:val="18"/>
              </w:rPr>
              <w:t>购买的商品和服务</w:t>
            </w:r>
            <w:r>
              <w:rPr>
                <w:sz w:val="18"/>
                <w:szCs w:val="18"/>
              </w:rPr>
              <w:t>b.</w:t>
            </w:r>
            <w:r>
              <w:rPr>
                <w:sz w:val="18"/>
                <w:szCs w:val="18"/>
              </w:rPr>
              <w:t>资本货物</w:t>
            </w:r>
            <w:r>
              <w:rPr>
                <w:sz w:val="18"/>
                <w:szCs w:val="18"/>
              </w:rPr>
              <w:t>c.</w:t>
            </w:r>
            <w:r>
              <w:rPr>
                <w:sz w:val="18"/>
                <w:szCs w:val="18"/>
              </w:rPr>
              <w:t>燃料和能源相关活动</w:t>
            </w:r>
            <w:r>
              <w:rPr>
                <w:sz w:val="18"/>
                <w:szCs w:val="18"/>
              </w:rPr>
              <w:t>d.</w:t>
            </w:r>
            <w:r>
              <w:rPr>
                <w:sz w:val="18"/>
                <w:szCs w:val="18"/>
              </w:rPr>
              <w:t>上游运输和配送</w:t>
            </w:r>
            <w:r>
              <w:rPr>
                <w:sz w:val="18"/>
                <w:szCs w:val="18"/>
              </w:rPr>
              <w:t>e.</w:t>
            </w:r>
            <w:r>
              <w:rPr>
                <w:sz w:val="18"/>
                <w:szCs w:val="18"/>
              </w:rPr>
              <w:t>商务旅行</w:t>
            </w:r>
            <w:r>
              <w:rPr>
                <w:sz w:val="18"/>
                <w:szCs w:val="18"/>
              </w:rPr>
              <w:t>f.</w:t>
            </w:r>
            <w:r>
              <w:rPr>
                <w:sz w:val="18"/>
                <w:szCs w:val="18"/>
              </w:rPr>
              <w:t>员工通勤</w:t>
            </w:r>
            <w:r>
              <w:rPr>
                <w:sz w:val="18"/>
                <w:szCs w:val="18"/>
              </w:rPr>
              <w:t>g.</w:t>
            </w:r>
            <w:r>
              <w:rPr>
                <w:sz w:val="18"/>
                <w:szCs w:val="18"/>
              </w:rPr>
              <w:t>下游运输和配送。</w:t>
            </w:r>
          </w:p>
          <w:p w:rsidR="00026823" w:rsidRDefault="008305BC">
            <w:pPr>
              <w:numPr>
                <w:ilvl w:val="0"/>
                <w:numId w:val="1"/>
              </w:numPr>
              <w:snapToGrid w:val="0"/>
              <w:spacing w:line="360" w:lineRule="auto"/>
              <w:ind w:firstLineChars="200" w:firstLine="360"/>
              <w:rPr>
                <w:sz w:val="18"/>
                <w:szCs w:val="18"/>
              </w:rPr>
            </w:pPr>
            <w:r>
              <w:rPr>
                <w:sz w:val="18"/>
                <w:szCs w:val="18"/>
              </w:rPr>
              <w:t>核算方法：确定数据收集方法、分配原则、数据质量要求等。说明各运营活动类别温室气体排放量的具体核算方法与数据来源。</w:t>
            </w:r>
          </w:p>
          <w:p w:rsidR="00026823" w:rsidRDefault="008305BC">
            <w:pPr>
              <w:numPr>
                <w:ilvl w:val="0"/>
                <w:numId w:val="1"/>
              </w:numPr>
              <w:snapToGrid w:val="0"/>
              <w:spacing w:line="360" w:lineRule="auto"/>
              <w:ind w:firstLineChars="200" w:firstLine="360"/>
              <w:rPr>
                <w:sz w:val="18"/>
                <w:szCs w:val="18"/>
              </w:rPr>
            </w:pPr>
            <w:r>
              <w:rPr>
                <w:sz w:val="18"/>
                <w:szCs w:val="18"/>
              </w:rPr>
              <w:t>报告内容和格式：提出水泥企业范围三温室气体排放报告内容与格式要求。</w:t>
            </w:r>
            <w:bookmarkStart w:id="1" w:name="_Toc4481"/>
            <w:bookmarkStart w:id="2" w:name="_Toc148444491"/>
            <w:bookmarkStart w:id="3" w:name="_Toc149583449"/>
            <w:bookmarkStart w:id="4" w:name="_Toc25294"/>
            <w:bookmarkStart w:id="5" w:name="_Toc162277983"/>
            <w:bookmarkStart w:id="6" w:name="_Toc148443661"/>
          </w:p>
          <w:bookmarkEnd w:id="1"/>
          <w:bookmarkEnd w:id="2"/>
          <w:bookmarkEnd w:id="3"/>
          <w:bookmarkEnd w:id="4"/>
          <w:bookmarkEnd w:id="5"/>
          <w:bookmarkEnd w:id="6"/>
          <w:p w:rsidR="00026823" w:rsidRDefault="00026823" w:rsidP="00831DEB">
            <w:pPr>
              <w:snapToGrid w:val="0"/>
              <w:spacing w:line="360" w:lineRule="auto"/>
              <w:rPr>
                <w:sz w:val="18"/>
                <w:szCs w:val="18"/>
              </w:rPr>
            </w:pPr>
          </w:p>
        </w:tc>
      </w:tr>
      <w:tr w:rsidR="00026823">
        <w:trPr>
          <w:trHeight w:val="2917"/>
          <w:jc w:val="center"/>
        </w:trPr>
        <w:tc>
          <w:tcPr>
            <w:tcW w:w="1476" w:type="dxa"/>
            <w:tcBorders>
              <w:top w:val="single" w:sz="4" w:space="0" w:color="auto"/>
              <w:left w:val="single" w:sz="4" w:space="0" w:color="auto"/>
              <w:bottom w:val="single" w:sz="4" w:space="0" w:color="auto"/>
              <w:right w:val="single" w:sz="4" w:space="0" w:color="auto"/>
            </w:tcBorders>
            <w:vAlign w:val="center"/>
          </w:tcPr>
          <w:p w:rsidR="00026823" w:rsidRDefault="008305BC">
            <w:pPr>
              <w:rPr>
                <w:sz w:val="18"/>
              </w:rPr>
            </w:pPr>
            <w:r>
              <w:rPr>
                <w:rFonts w:hint="eastAsia"/>
                <w:sz w:val="18"/>
              </w:rPr>
              <w:t>国内外情况</w:t>
            </w:r>
          </w:p>
          <w:p w:rsidR="00026823" w:rsidRDefault="008305BC">
            <w:pPr>
              <w:rPr>
                <w:sz w:val="18"/>
              </w:rPr>
            </w:pPr>
            <w:r>
              <w:rPr>
                <w:rFonts w:hint="eastAsia"/>
                <w:sz w:val="18"/>
              </w:rPr>
              <w:t>简要说明</w:t>
            </w:r>
          </w:p>
        </w:tc>
        <w:tc>
          <w:tcPr>
            <w:tcW w:w="7622" w:type="dxa"/>
            <w:gridSpan w:val="9"/>
            <w:tcBorders>
              <w:top w:val="single" w:sz="4" w:space="0" w:color="auto"/>
              <w:left w:val="single" w:sz="4" w:space="0" w:color="auto"/>
              <w:bottom w:val="single" w:sz="4" w:space="0" w:color="auto"/>
              <w:right w:val="single" w:sz="4" w:space="0" w:color="auto"/>
            </w:tcBorders>
            <w:vAlign w:val="center"/>
          </w:tcPr>
          <w:p w:rsidR="00026823" w:rsidRDefault="008305BC">
            <w:pPr>
              <w:numPr>
                <w:ilvl w:val="0"/>
                <w:numId w:val="2"/>
              </w:numPr>
              <w:rPr>
                <w:sz w:val="18"/>
              </w:rPr>
            </w:pPr>
            <w:r>
              <w:rPr>
                <w:sz w:val="18"/>
                <w:u w:val="single"/>
              </w:rPr>
              <w:t>国内外对该技术研究情况简要说明</w:t>
            </w:r>
            <w:r>
              <w:rPr>
                <w:sz w:val="18"/>
              </w:rPr>
              <w:t>：</w:t>
            </w:r>
          </w:p>
          <w:p w:rsidR="00026823" w:rsidRDefault="008305BC">
            <w:pPr>
              <w:snapToGrid w:val="0"/>
              <w:spacing w:line="360" w:lineRule="auto"/>
              <w:ind w:firstLineChars="200" w:firstLine="360"/>
              <w:rPr>
                <w:sz w:val="18"/>
                <w:szCs w:val="18"/>
              </w:rPr>
            </w:pPr>
            <w:r>
              <w:rPr>
                <w:sz w:val="18"/>
                <w:szCs w:val="18"/>
              </w:rPr>
              <w:t>国际上广泛应用于企业价值链（范围三）核算与报告标准是世界资源研究所（</w:t>
            </w:r>
            <w:r>
              <w:rPr>
                <w:sz w:val="18"/>
                <w:szCs w:val="18"/>
              </w:rPr>
              <w:t>WRI</w:t>
            </w:r>
            <w:r>
              <w:rPr>
                <w:sz w:val="18"/>
                <w:szCs w:val="18"/>
              </w:rPr>
              <w:t>）和世界可持续发展工商理事会（</w:t>
            </w:r>
            <w:r>
              <w:rPr>
                <w:sz w:val="18"/>
                <w:szCs w:val="18"/>
              </w:rPr>
              <w:t>WBCSD</w:t>
            </w:r>
            <w:r>
              <w:rPr>
                <w:sz w:val="18"/>
                <w:szCs w:val="18"/>
              </w:rPr>
              <w:t>）</w:t>
            </w:r>
            <w:r>
              <w:rPr>
                <w:sz w:val="18"/>
                <w:szCs w:val="18"/>
              </w:rPr>
              <w:t>2011</w:t>
            </w:r>
            <w:r>
              <w:rPr>
                <w:sz w:val="18"/>
                <w:szCs w:val="18"/>
              </w:rPr>
              <w:t>年发布的温室气体核算体系（</w:t>
            </w:r>
            <w:r>
              <w:rPr>
                <w:sz w:val="18"/>
                <w:szCs w:val="18"/>
              </w:rPr>
              <w:t>GHG Protocol</w:t>
            </w:r>
            <w:r>
              <w:rPr>
                <w:sz w:val="18"/>
                <w:szCs w:val="18"/>
              </w:rPr>
              <w:t>）中的《温室气体核算体系：企业价值链（范围三）核算与报告标准（</w:t>
            </w:r>
            <w:r>
              <w:rPr>
                <w:sz w:val="18"/>
                <w:szCs w:val="18"/>
              </w:rPr>
              <w:t>2011</w:t>
            </w:r>
            <w:r>
              <w:rPr>
                <w:sz w:val="18"/>
                <w:szCs w:val="18"/>
              </w:rPr>
              <w:t>）》。</w:t>
            </w:r>
            <w:r>
              <w:rPr>
                <w:sz w:val="18"/>
                <w:szCs w:val="18"/>
              </w:rPr>
              <w:t>WRI</w:t>
            </w:r>
            <w:r>
              <w:rPr>
                <w:sz w:val="18"/>
                <w:szCs w:val="18"/>
              </w:rPr>
              <w:t>和</w:t>
            </w:r>
            <w:r>
              <w:rPr>
                <w:sz w:val="18"/>
                <w:szCs w:val="18"/>
              </w:rPr>
              <w:t>WBCSD</w:t>
            </w:r>
            <w:r>
              <w:rPr>
                <w:sz w:val="18"/>
                <w:szCs w:val="18"/>
              </w:rPr>
              <w:t>联合建立的温室气体核算体系，是全球最早开展的温室气体核算标准项目之一。该体系是针对企业、组织或者产品进行核算的方法体系，旨在为企业温室气体排放许可目录建立国际公认的核算和报告准则。主要包括：《温室气体核算体系：企业核算与报告标准（</w:t>
            </w:r>
            <w:r>
              <w:rPr>
                <w:sz w:val="18"/>
                <w:szCs w:val="18"/>
              </w:rPr>
              <w:t>2011</w:t>
            </w:r>
            <w:r>
              <w:rPr>
                <w:sz w:val="18"/>
                <w:szCs w:val="18"/>
              </w:rPr>
              <w:t>）》《温室气体核算体系：产品生命周期核算和报告标准（</w:t>
            </w:r>
            <w:r>
              <w:rPr>
                <w:sz w:val="18"/>
                <w:szCs w:val="18"/>
              </w:rPr>
              <w:t>2011</w:t>
            </w:r>
            <w:r>
              <w:rPr>
                <w:sz w:val="18"/>
                <w:szCs w:val="18"/>
              </w:rPr>
              <w:t>）》《温室气体核算体系：企业价值链（范围三）核算与报告标准（</w:t>
            </w:r>
            <w:r>
              <w:rPr>
                <w:sz w:val="18"/>
                <w:szCs w:val="18"/>
              </w:rPr>
              <w:t>2011</w:t>
            </w:r>
            <w:r>
              <w:rPr>
                <w:sz w:val="18"/>
                <w:szCs w:val="18"/>
              </w:rPr>
              <w:t>）》。</w:t>
            </w:r>
            <w:r>
              <w:rPr>
                <w:sz w:val="18"/>
                <w:szCs w:val="18"/>
              </w:rPr>
              <w:t xml:space="preserve"> </w:t>
            </w:r>
          </w:p>
          <w:p w:rsidR="00026823" w:rsidRDefault="008305BC">
            <w:pPr>
              <w:snapToGrid w:val="0"/>
              <w:spacing w:line="360" w:lineRule="auto"/>
              <w:ind w:firstLineChars="200" w:firstLine="360"/>
              <w:rPr>
                <w:sz w:val="18"/>
                <w:szCs w:val="18"/>
              </w:rPr>
            </w:pPr>
            <w:r>
              <w:rPr>
                <w:sz w:val="18"/>
                <w:szCs w:val="18"/>
              </w:rPr>
              <w:t>2018</w:t>
            </w:r>
            <w:r>
              <w:rPr>
                <w:sz w:val="18"/>
                <w:szCs w:val="18"/>
              </w:rPr>
              <w:t>年国际标准化组织发布新版</w:t>
            </w:r>
            <w:r>
              <w:rPr>
                <w:sz w:val="18"/>
                <w:szCs w:val="18"/>
              </w:rPr>
              <w:t>ISO 14064-1</w:t>
            </w:r>
            <w:r>
              <w:rPr>
                <w:sz w:val="18"/>
                <w:szCs w:val="18"/>
              </w:rPr>
              <w:t>：</w:t>
            </w:r>
            <w:r>
              <w:rPr>
                <w:sz w:val="18"/>
                <w:szCs w:val="18"/>
              </w:rPr>
              <w:t>2018</w:t>
            </w:r>
            <w:r>
              <w:rPr>
                <w:sz w:val="18"/>
                <w:szCs w:val="18"/>
              </w:rPr>
              <w:t>《温室气体</w:t>
            </w:r>
            <w:r>
              <w:rPr>
                <w:sz w:val="18"/>
                <w:szCs w:val="18"/>
              </w:rPr>
              <w:t xml:space="preserve"> </w:t>
            </w:r>
            <w:r>
              <w:rPr>
                <w:sz w:val="18"/>
                <w:szCs w:val="18"/>
              </w:rPr>
              <w:t>第一部分</w:t>
            </w:r>
            <w:r>
              <w:rPr>
                <w:sz w:val="18"/>
                <w:szCs w:val="18"/>
              </w:rPr>
              <w:t xml:space="preserve"> </w:t>
            </w:r>
            <w:r>
              <w:rPr>
                <w:sz w:val="18"/>
                <w:szCs w:val="18"/>
              </w:rPr>
              <w:t>组织层次上对温室气体排放和清除的量化和报告的规范及指南》，相较于</w:t>
            </w:r>
            <w:r>
              <w:rPr>
                <w:sz w:val="18"/>
                <w:szCs w:val="18"/>
              </w:rPr>
              <w:t>2006</w:t>
            </w:r>
            <w:r>
              <w:rPr>
                <w:sz w:val="18"/>
                <w:szCs w:val="18"/>
              </w:rPr>
              <w:t>版，新版标准将</w:t>
            </w:r>
            <w:r>
              <w:rPr>
                <w:sz w:val="18"/>
                <w:szCs w:val="18"/>
              </w:rPr>
              <w:t>“</w:t>
            </w:r>
            <w:r>
              <w:rPr>
                <w:sz w:val="18"/>
                <w:szCs w:val="18"/>
              </w:rPr>
              <w:t>运营边界</w:t>
            </w:r>
            <w:r>
              <w:rPr>
                <w:sz w:val="18"/>
                <w:szCs w:val="18"/>
              </w:rPr>
              <w:t>”</w:t>
            </w:r>
            <w:r>
              <w:rPr>
                <w:sz w:val="18"/>
                <w:szCs w:val="18"/>
              </w:rPr>
              <w:t>更名为</w:t>
            </w:r>
            <w:r>
              <w:rPr>
                <w:sz w:val="18"/>
                <w:szCs w:val="18"/>
              </w:rPr>
              <w:t>“</w:t>
            </w:r>
            <w:r>
              <w:rPr>
                <w:sz w:val="18"/>
                <w:szCs w:val="18"/>
              </w:rPr>
              <w:t>报告边界</w:t>
            </w:r>
            <w:r>
              <w:rPr>
                <w:sz w:val="18"/>
                <w:szCs w:val="18"/>
              </w:rPr>
              <w:t>”</w:t>
            </w:r>
            <w:r>
              <w:rPr>
                <w:sz w:val="18"/>
                <w:szCs w:val="18"/>
              </w:rPr>
              <w:t>，将包括价值链上更多类型的间接排放纳入组织的间接排放范围，并将间接温室气体排放分为五个具体类别。这一变化也体现了价值链上温室气体排放核算的重要性。</w:t>
            </w:r>
          </w:p>
          <w:p w:rsidR="00026823" w:rsidRDefault="008305BC">
            <w:pPr>
              <w:snapToGrid w:val="0"/>
              <w:spacing w:line="360" w:lineRule="auto"/>
              <w:ind w:firstLineChars="200" w:firstLine="360"/>
              <w:rPr>
                <w:sz w:val="18"/>
                <w:szCs w:val="18"/>
              </w:rPr>
            </w:pPr>
            <w:r>
              <w:rPr>
                <w:sz w:val="18"/>
                <w:szCs w:val="18"/>
              </w:rPr>
              <w:t>我国开展价值链温室气体核算研究较晚，目前尚未形成国家及行业层面的完善的价值链温室气体核算方法标准体系。</w:t>
            </w:r>
          </w:p>
          <w:p w:rsidR="00026823" w:rsidRDefault="008305BC">
            <w:pPr>
              <w:numPr>
                <w:ilvl w:val="0"/>
                <w:numId w:val="2"/>
              </w:numPr>
              <w:rPr>
                <w:sz w:val="18"/>
              </w:rPr>
            </w:pPr>
            <w:r>
              <w:rPr>
                <w:sz w:val="18"/>
                <w:u w:val="single"/>
              </w:rPr>
              <w:t>项目与国际标准或国外先进标准采用程度的考虑：</w:t>
            </w:r>
          </w:p>
          <w:p w:rsidR="00026823" w:rsidRDefault="008305BC">
            <w:pPr>
              <w:snapToGrid w:val="0"/>
              <w:spacing w:line="360" w:lineRule="auto"/>
              <w:ind w:firstLineChars="200" w:firstLine="360"/>
              <w:rPr>
                <w:sz w:val="18"/>
                <w:szCs w:val="18"/>
              </w:rPr>
            </w:pPr>
            <w:r>
              <w:rPr>
                <w:rFonts w:hint="eastAsia"/>
                <w:sz w:val="18"/>
                <w:szCs w:val="18"/>
              </w:rPr>
              <w:t>为适应国内外</w:t>
            </w:r>
            <w:proofErr w:type="gramStart"/>
            <w:r>
              <w:rPr>
                <w:rFonts w:hint="eastAsia"/>
                <w:sz w:val="18"/>
                <w:szCs w:val="18"/>
              </w:rPr>
              <w:t>碳信息</w:t>
            </w:r>
            <w:proofErr w:type="gramEnd"/>
            <w:r>
              <w:rPr>
                <w:rFonts w:hint="eastAsia"/>
                <w:sz w:val="18"/>
                <w:szCs w:val="18"/>
              </w:rPr>
              <w:t>共享与互认要求，本文件参考</w:t>
            </w:r>
            <w:r>
              <w:rPr>
                <w:rFonts w:hint="eastAsia"/>
                <w:sz w:val="18"/>
                <w:szCs w:val="18"/>
              </w:rPr>
              <w:t>GHG Protocol</w:t>
            </w:r>
            <w:r>
              <w:rPr>
                <w:rFonts w:hint="eastAsia"/>
                <w:sz w:val="18"/>
                <w:szCs w:val="18"/>
              </w:rPr>
              <w:t>中《温室气体核算体系：</w:t>
            </w:r>
            <w:r>
              <w:rPr>
                <w:rFonts w:hint="eastAsia"/>
                <w:sz w:val="18"/>
                <w:szCs w:val="18"/>
              </w:rPr>
              <w:lastRenderedPageBreak/>
              <w:t>企业价值链（范围三）核算与报告标准（</w:t>
            </w:r>
            <w:r>
              <w:rPr>
                <w:rFonts w:hint="eastAsia"/>
                <w:sz w:val="18"/>
                <w:szCs w:val="18"/>
              </w:rPr>
              <w:t>2011</w:t>
            </w:r>
            <w:r>
              <w:rPr>
                <w:rFonts w:hint="eastAsia"/>
                <w:sz w:val="18"/>
                <w:szCs w:val="18"/>
              </w:rPr>
              <w:t>）》框架，同时参考</w:t>
            </w:r>
            <w:r>
              <w:rPr>
                <w:rFonts w:hint="eastAsia"/>
                <w:sz w:val="18"/>
                <w:szCs w:val="18"/>
              </w:rPr>
              <w:t>WBCSD</w:t>
            </w:r>
            <w:r>
              <w:rPr>
                <w:rFonts w:hint="eastAsia"/>
                <w:sz w:val="18"/>
                <w:szCs w:val="18"/>
              </w:rPr>
              <w:t>的水泥可持续发展倡议</w:t>
            </w:r>
            <w:r>
              <w:rPr>
                <w:rFonts w:hint="eastAsia"/>
                <w:sz w:val="18"/>
                <w:szCs w:val="18"/>
              </w:rPr>
              <w:t xml:space="preserve"> (CSI) </w:t>
            </w:r>
            <w:r>
              <w:rPr>
                <w:rFonts w:hint="eastAsia"/>
                <w:sz w:val="18"/>
                <w:szCs w:val="18"/>
              </w:rPr>
              <w:t>编写的</w:t>
            </w:r>
            <w:r>
              <w:rPr>
                <w:rFonts w:hint="eastAsia"/>
                <w:i/>
                <w:iCs/>
                <w:sz w:val="18"/>
                <w:szCs w:val="18"/>
              </w:rPr>
              <w:t>Cement Sector Scope 3 GHG Accounting and Reporting Guidance</w:t>
            </w:r>
            <w:r>
              <w:rPr>
                <w:rFonts w:hint="eastAsia"/>
                <w:sz w:val="18"/>
                <w:szCs w:val="18"/>
              </w:rPr>
              <w:t>（《水泥行业范围</w:t>
            </w:r>
            <w:r>
              <w:rPr>
                <w:rFonts w:hint="eastAsia"/>
                <w:sz w:val="18"/>
                <w:szCs w:val="18"/>
              </w:rPr>
              <w:t xml:space="preserve"> 3 </w:t>
            </w:r>
            <w:r>
              <w:rPr>
                <w:rFonts w:hint="eastAsia"/>
                <w:sz w:val="18"/>
                <w:szCs w:val="18"/>
              </w:rPr>
              <w:t>温室气体核算和报告指南》），并考虑与</w:t>
            </w:r>
            <w:r>
              <w:rPr>
                <w:rFonts w:hint="eastAsia"/>
                <w:sz w:val="18"/>
                <w:szCs w:val="18"/>
              </w:rPr>
              <w:t>GB 24040-2008</w:t>
            </w:r>
            <w:r>
              <w:rPr>
                <w:rFonts w:hint="eastAsia"/>
                <w:sz w:val="18"/>
                <w:szCs w:val="18"/>
              </w:rPr>
              <w:t>《环境管理</w:t>
            </w:r>
            <w:r>
              <w:rPr>
                <w:rFonts w:hint="eastAsia"/>
                <w:sz w:val="18"/>
                <w:szCs w:val="18"/>
              </w:rPr>
              <w:t xml:space="preserve"> </w:t>
            </w:r>
            <w:r>
              <w:rPr>
                <w:rFonts w:hint="eastAsia"/>
                <w:sz w:val="18"/>
                <w:szCs w:val="18"/>
              </w:rPr>
              <w:t>生命周期评价</w:t>
            </w:r>
            <w:r>
              <w:rPr>
                <w:rFonts w:hint="eastAsia"/>
                <w:sz w:val="18"/>
                <w:szCs w:val="18"/>
              </w:rPr>
              <w:t xml:space="preserve"> </w:t>
            </w:r>
            <w:r>
              <w:rPr>
                <w:rFonts w:hint="eastAsia"/>
                <w:sz w:val="18"/>
                <w:szCs w:val="18"/>
              </w:rPr>
              <w:t>原则与框架》、</w:t>
            </w:r>
            <w:r>
              <w:rPr>
                <w:rFonts w:hint="eastAsia"/>
                <w:sz w:val="18"/>
                <w:szCs w:val="18"/>
              </w:rPr>
              <w:t>GB/T 32150-2015</w:t>
            </w:r>
            <w:r>
              <w:rPr>
                <w:rFonts w:hint="eastAsia"/>
                <w:sz w:val="18"/>
                <w:szCs w:val="18"/>
              </w:rPr>
              <w:t>《工业企业温室气体排放核算和报告通则》等标准的协调一致。</w:t>
            </w:r>
          </w:p>
          <w:p w:rsidR="00026823" w:rsidRDefault="008305BC">
            <w:pPr>
              <w:numPr>
                <w:ilvl w:val="0"/>
                <w:numId w:val="2"/>
              </w:numPr>
              <w:rPr>
                <w:sz w:val="18"/>
              </w:rPr>
            </w:pPr>
            <w:r>
              <w:rPr>
                <w:sz w:val="18"/>
                <w:u w:val="single"/>
              </w:rPr>
              <w:t>与国内相关标准间的关系：</w:t>
            </w:r>
          </w:p>
          <w:p w:rsidR="00026823" w:rsidRDefault="008305BC">
            <w:pPr>
              <w:ind w:firstLineChars="200" w:firstLine="360"/>
              <w:rPr>
                <w:sz w:val="18"/>
                <w:szCs w:val="18"/>
              </w:rPr>
            </w:pPr>
            <w:r>
              <w:rPr>
                <w:sz w:val="18"/>
                <w:szCs w:val="18"/>
              </w:rPr>
              <w:t>该标准项目目前没有对应的国内相关标准。</w:t>
            </w:r>
            <w:r>
              <w:rPr>
                <w:rFonts w:hint="eastAsia"/>
                <w:sz w:val="18"/>
                <w:szCs w:val="18"/>
              </w:rPr>
              <w:t>作为国内已实施的温室气体核算标准的补充，与</w:t>
            </w:r>
            <w:r>
              <w:rPr>
                <w:rFonts w:hint="eastAsia"/>
                <w:sz w:val="18"/>
                <w:szCs w:val="18"/>
              </w:rPr>
              <w:t>GB/T 32150</w:t>
            </w:r>
            <w:r>
              <w:rPr>
                <w:rFonts w:hint="eastAsia"/>
                <w:sz w:val="18"/>
                <w:szCs w:val="18"/>
              </w:rPr>
              <w:t>与</w:t>
            </w:r>
            <w:r>
              <w:rPr>
                <w:rFonts w:hint="eastAsia"/>
                <w:sz w:val="18"/>
                <w:szCs w:val="18"/>
              </w:rPr>
              <w:t>GB/T 32151</w:t>
            </w:r>
            <w:r>
              <w:rPr>
                <w:rFonts w:hint="eastAsia"/>
                <w:sz w:val="18"/>
                <w:szCs w:val="18"/>
              </w:rPr>
              <w:t>协调一致。</w:t>
            </w:r>
          </w:p>
          <w:p w:rsidR="00026823" w:rsidRDefault="008305BC">
            <w:pPr>
              <w:numPr>
                <w:ilvl w:val="0"/>
                <w:numId w:val="2"/>
              </w:numPr>
              <w:rPr>
                <w:sz w:val="18"/>
              </w:rPr>
            </w:pPr>
            <w:r>
              <w:rPr>
                <w:sz w:val="18"/>
                <w:u w:val="single"/>
              </w:rPr>
              <w:t>指出是否发现有知识产权的问题</w:t>
            </w:r>
            <w:r>
              <w:rPr>
                <w:sz w:val="18"/>
              </w:rPr>
              <w:t>；</w:t>
            </w:r>
          </w:p>
          <w:p w:rsidR="00026823" w:rsidRDefault="008305BC">
            <w:pPr>
              <w:ind w:left="360"/>
              <w:rPr>
                <w:sz w:val="18"/>
              </w:rPr>
            </w:pPr>
            <w:r>
              <w:rPr>
                <w:sz w:val="18"/>
              </w:rPr>
              <w:t>本标准不涉及知识产权的问题。</w:t>
            </w:r>
          </w:p>
        </w:tc>
      </w:tr>
      <w:tr w:rsidR="00026823">
        <w:trPr>
          <w:trHeight w:val="1576"/>
          <w:jc w:val="center"/>
        </w:trPr>
        <w:tc>
          <w:tcPr>
            <w:tcW w:w="1476" w:type="dxa"/>
            <w:tcBorders>
              <w:top w:val="single" w:sz="4" w:space="0" w:color="auto"/>
              <w:left w:val="single" w:sz="4" w:space="0" w:color="auto"/>
              <w:bottom w:val="single" w:sz="4" w:space="0" w:color="auto"/>
              <w:right w:val="single" w:sz="4" w:space="0" w:color="auto"/>
            </w:tcBorders>
            <w:vAlign w:val="center"/>
          </w:tcPr>
          <w:p w:rsidR="00026823" w:rsidRDefault="008305BC">
            <w:pPr>
              <w:jc w:val="center"/>
              <w:rPr>
                <w:sz w:val="18"/>
              </w:rPr>
            </w:pPr>
            <w:r>
              <w:rPr>
                <w:rFonts w:hint="eastAsia"/>
                <w:sz w:val="18"/>
                <w:szCs w:val="18"/>
              </w:rPr>
              <w:lastRenderedPageBreak/>
              <w:t>牵头</w:t>
            </w:r>
            <w:r>
              <w:rPr>
                <w:rFonts w:hint="eastAsia"/>
                <w:sz w:val="18"/>
              </w:rPr>
              <w:t>单位</w:t>
            </w:r>
          </w:p>
        </w:tc>
        <w:tc>
          <w:tcPr>
            <w:tcW w:w="2636" w:type="dxa"/>
            <w:gridSpan w:val="4"/>
            <w:tcBorders>
              <w:top w:val="single" w:sz="4" w:space="0" w:color="auto"/>
              <w:left w:val="single" w:sz="4" w:space="0" w:color="auto"/>
              <w:bottom w:val="single" w:sz="4" w:space="0" w:color="auto"/>
              <w:right w:val="single" w:sz="4" w:space="0" w:color="auto"/>
            </w:tcBorders>
            <w:vAlign w:val="center"/>
          </w:tcPr>
          <w:p w:rsidR="00026823" w:rsidRDefault="00026823">
            <w:pPr>
              <w:pStyle w:val="a6"/>
              <w:pBdr>
                <w:bottom w:val="none" w:sz="0" w:space="0" w:color="auto"/>
              </w:pBdr>
              <w:tabs>
                <w:tab w:val="left" w:pos="420"/>
              </w:tabs>
              <w:snapToGrid/>
            </w:pPr>
          </w:p>
          <w:p w:rsidR="00026823" w:rsidRDefault="008305BC">
            <w:pPr>
              <w:pStyle w:val="a6"/>
              <w:pBdr>
                <w:bottom w:val="none" w:sz="0" w:space="0" w:color="auto"/>
              </w:pBdr>
              <w:tabs>
                <w:tab w:val="left" w:pos="420"/>
              </w:tabs>
              <w:snapToGrid/>
            </w:pPr>
            <w:r>
              <w:rPr>
                <w:rFonts w:hint="eastAsia"/>
              </w:rPr>
              <w:t>（签字、盖公章）</w:t>
            </w:r>
          </w:p>
          <w:p w:rsidR="00026823" w:rsidRDefault="00026823">
            <w:pPr>
              <w:pStyle w:val="a6"/>
              <w:pBdr>
                <w:bottom w:val="none" w:sz="0" w:space="0" w:color="auto"/>
              </w:pBdr>
              <w:tabs>
                <w:tab w:val="left" w:pos="420"/>
              </w:tabs>
              <w:snapToGrid/>
            </w:pPr>
          </w:p>
          <w:p w:rsidR="00026823" w:rsidRDefault="008305BC">
            <w:pPr>
              <w:jc w:val="center"/>
              <w:rPr>
                <w:sz w:val="18"/>
              </w:rPr>
            </w:pPr>
            <w:r>
              <w:rPr>
                <w:rFonts w:hint="eastAsia"/>
                <w:sz w:val="18"/>
                <w:szCs w:val="18"/>
              </w:rPr>
              <w:t>月</w:t>
            </w:r>
            <w:r>
              <w:rPr>
                <w:rFonts w:hint="eastAsia"/>
                <w:sz w:val="18"/>
                <w:szCs w:val="18"/>
              </w:rPr>
              <w:t xml:space="preserve">    </w:t>
            </w:r>
            <w:r>
              <w:rPr>
                <w:rFonts w:hint="eastAsia"/>
                <w:sz w:val="18"/>
                <w:szCs w:val="18"/>
              </w:rPr>
              <w:t>日</w:t>
            </w:r>
          </w:p>
        </w:tc>
        <w:tc>
          <w:tcPr>
            <w:tcW w:w="2118" w:type="dxa"/>
            <w:gridSpan w:val="3"/>
            <w:tcBorders>
              <w:top w:val="single" w:sz="4" w:space="0" w:color="auto"/>
              <w:left w:val="single" w:sz="4" w:space="0" w:color="auto"/>
              <w:bottom w:val="single" w:sz="4" w:space="0" w:color="auto"/>
              <w:right w:val="single" w:sz="4" w:space="0" w:color="auto"/>
            </w:tcBorders>
            <w:vAlign w:val="center"/>
          </w:tcPr>
          <w:p w:rsidR="00026823" w:rsidRDefault="008305BC">
            <w:pPr>
              <w:jc w:val="center"/>
              <w:rPr>
                <w:sz w:val="18"/>
              </w:rPr>
            </w:pPr>
            <w:r>
              <w:rPr>
                <w:rFonts w:ascii="宋体" w:hAnsi="宋体"/>
                <w:sz w:val="18"/>
                <w:szCs w:val="18"/>
              </w:rPr>
              <w:t>归口管理部门</w:t>
            </w:r>
          </w:p>
        </w:tc>
        <w:tc>
          <w:tcPr>
            <w:tcW w:w="2868" w:type="dxa"/>
            <w:gridSpan w:val="2"/>
            <w:tcBorders>
              <w:top w:val="single" w:sz="4" w:space="0" w:color="auto"/>
              <w:left w:val="single" w:sz="4" w:space="0" w:color="auto"/>
              <w:bottom w:val="single" w:sz="4" w:space="0" w:color="auto"/>
              <w:right w:val="single" w:sz="4" w:space="0" w:color="auto"/>
            </w:tcBorders>
            <w:vAlign w:val="center"/>
          </w:tcPr>
          <w:p w:rsidR="00026823" w:rsidRDefault="00026823">
            <w:pPr>
              <w:pStyle w:val="a6"/>
              <w:pBdr>
                <w:bottom w:val="none" w:sz="0" w:space="0" w:color="auto"/>
              </w:pBdr>
              <w:tabs>
                <w:tab w:val="left" w:pos="420"/>
              </w:tabs>
              <w:snapToGrid/>
            </w:pPr>
          </w:p>
          <w:p w:rsidR="00026823" w:rsidRDefault="008305BC">
            <w:pPr>
              <w:pStyle w:val="a6"/>
              <w:pBdr>
                <w:bottom w:val="none" w:sz="0" w:space="0" w:color="auto"/>
              </w:pBdr>
              <w:tabs>
                <w:tab w:val="left" w:pos="420"/>
              </w:tabs>
              <w:snapToGrid/>
            </w:pPr>
            <w:r>
              <w:rPr>
                <w:rFonts w:hint="eastAsia"/>
              </w:rPr>
              <w:t>（签字、盖公章）</w:t>
            </w:r>
          </w:p>
          <w:p w:rsidR="00026823" w:rsidRDefault="00026823">
            <w:pPr>
              <w:pStyle w:val="a6"/>
              <w:pBdr>
                <w:bottom w:val="none" w:sz="0" w:space="0" w:color="auto"/>
              </w:pBdr>
              <w:tabs>
                <w:tab w:val="left" w:pos="420"/>
              </w:tabs>
              <w:snapToGrid/>
            </w:pPr>
          </w:p>
          <w:p w:rsidR="00026823" w:rsidRDefault="008305BC">
            <w:pPr>
              <w:pStyle w:val="a6"/>
              <w:pBdr>
                <w:bottom w:val="none" w:sz="0" w:space="0" w:color="auto"/>
              </w:pBdr>
              <w:tabs>
                <w:tab w:val="left" w:pos="420"/>
              </w:tabs>
              <w:snapToGrid/>
              <w:ind w:firstLineChars="250" w:firstLine="450"/>
            </w:pPr>
            <w:r>
              <w:rPr>
                <w:rFonts w:hint="eastAsia"/>
              </w:rPr>
              <w:t>月</w:t>
            </w:r>
            <w:r>
              <w:t xml:space="preserve">    </w:t>
            </w:r>
            <w:r>
              <w:rPr>
                <w:rFonts w:hint="eastAsia"/>
              </w:rPr>
              <w:t>日</w:t>
            </w:r>
          </w:p>
        </w:tc>
      </w:tr>
    </w:tbl>
    <w:p w:rsidR="00026823" w:rsidRDefault="008305BC">
      <w:pPr>
        <w:ind w:firstLineChars="200" w:firstLine="360"/>
        <w:rPr>
          <w:sz w:val="18"/>
          <w:szCs w:val="18"/>
        </w:rPr>
      </w:pPr>
      <w:r>
        <w:rPr>
          <w:rFonts w:hint="eastAsia"/>
          <w:sz w:val="18"/>
          <w:szCs w:val="18"/>
        </w:rPr>
        <w:t>注：</w:t>
      </w:r>
      <w:r>
        <w:rPr>
          <w:rFonts w:hint="eastAsia"/>
          <w:sz w:val="18"/>
          <w:szCs w:val="18"/>
        </w:rPr>
        <w:t>1.</w:t>
      </w:r>
      <w:r>
        <w:rPr>
          <w:rFonts w:hint="eastAsia"/>
          <w:sz w:val="18"/>
          <w:szCs w:val="18"/>
        </w:rPr>
        <w:t>填写制定或修订项目中，若选择修订必须填写被修订标准号；</w:t>
      </w:r>
    </w:p>
    <w:p w:rsidR="00026823" w:rsidRDefault="008305BC">
      <w:pPr>
        <w:ind w:firstLineChars="400" w:firstLine="720"/>
        <w:rPr>
          <w:sz w:val="18"/>
          <w:szCs w:val="18"/>
        </w:rPr>
      </w:pPr>
      <w:r>
        <w:rPr>
          <w:rFonts w:hint="eastAsia"/>
          <w:sz w:val="18"/>
          <w:szCs w:val="18"/>
        </w:rPr>
        <w:t>2.</w:t>
      </w:r>
      <w:r>
        <w:rPr>
          <w:rFonts w:hint="eastAsia"/>
          <w:sz w:val="18"/>
          <w:szCs w:val="18"/>
        </w:rPr>
        <w:t>选择采用国际标准，必须填写采标号及采用程度；</w:t>
      </w:r>
    </w:p>
    <w:p w:rsidR="00026823" w:rsidRDefault="008305BC">
      <w:pPr>
        <w:ind w:firstLineChars="400" w:firstLine="720"/>
      </w:pPr>
      <w:r>
        <w:rPr>
          <w:rFonts w:hint="eastAsia"/>
          <w:sz w:val="18"/>
          <w:szCs w:val="18"/>
        </w:rPr>
        <w:t>3.</w:t>
      </w:r>
      <w:r>
        <w:rPr>
          <w:rFonts w:hint="eastAsia"/>
          <w:sz w:val="18"/>
          <w:szCs w:val="18"/>
        </w:rPr>
        <w:t>选择采用快速程序，必须填写快速程序代码。</w:t>
      </w:r>
    </w:p>
    <w:sectPr w:rsidR="00026823">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6CB1" w:rsidRDefault="007A6CB1">
      <w:r>
        <w:separator/>
      </w:r>
    </w:p>
  </w:endnote>
  <w:endnote w:type="continuationSeparator" w:id="0">
    <w:p w:rsidR="007A6CB1" w:rsidRDefault="007A6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6823" w:rsidRDefault="008305BC">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026823" w:rsidRDefault="008305BC">
                          <w:pPr>
                            <w:pStyle w:val="a4"/>
                          </w:pPr>
                          <w:r>
                            <w:fldChar w:fldCharType="begin"/>
                          </w:r>
                          <w:r>
                            <w:instrText xml:space="preserve"> PAGE  \* MERGEFORMAT </w:instrText>
                          </w:r>
                          <w:r>
                            <w:fldChar w:fldCharType="separate"/>
                          </w:r>
                          <w:r w:rsidR="002D3CB8">
                            <w:rPr>
                              <w:noProof/>
                            </w:rP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026823" w:rsidRDefault="008305BC">
                    <w:pPr>
                      <w:pStyle w:val="a4"/>
                    </w:pPr>
                    <w:r>
                      <w:fldChar w:fldCharType="begin"/>
                    </w:r>
                    <w:r>
                      <w:instrText xml:space="preserve"> PAGE  \* MERGEFORMAT </w:instrText>
                    </w:r>
                    <w:r>
                      <w:fldChar w:fldCharType="separate"/>
                    </w:r>
                    <w:r w:rsidR="002D3CB8">
                      <w:rPr>
                        <w:noProof/>
                      </w:rPr>
                      <w:t>3</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6CB1" w:rsidRDefault="007A6CB1">
      <w:r>
        <w:separator/>
      </w:r>
    </w:p>
  </w:footnote>
  <w:footnote w:type="continuationSeparator" w:id="0">
    <w:p w:rsidR="007A6CB1" w:rsidRDefault="007A6CB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3A63FB"/>
    <w:multiLevelType w:val="multilevel"/>
    <w:tmpl w:val="4A3A63FB"/>
    <w:lvl w:ilvl="0">
      <w:start w:val="1"/>
      <w:numFmt w:val="decimal"/>
      <w:lvlText w:val="%1."/>
      <w:lvlJc w:val="left"/>
      <w:pPr>
        <w:tabs>
          <w:tab w:val="left" w:pos="360"/>
        </w:tabs>
        <w:ind w:left="360" w:hanging="360"/>
      </w:pPr>
      <w:rPr>
        <w:u w:val="single"/>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7898E226"/>
    <w:multiLevelType w:val="singleLevel"/>
    <w:tmpl w:val="7898E226"/>
    <w:lvl w:ilvl="0">
      <w:start w:val="1"/>
      <w:numFmt w:val="decimal"/>
      <w:suff w:val="nothing"/>
      <w:lvlText w:val="%1．"/>
      <w:lvlJc w:val="left"/>
      <w:pPr>
        <w:ind w:left="0" w:firstLine="400"/>
      </w:pPr>
      <w:rPr>
        <w:rFonts w:hint="default"/>
      </w:rPr>
    </w:lvl>
  </w:abstractNum>
  <w:num w:numId="1">
    <w:abstractNumId w:val="1"/>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spelling="clean" w:grammar="clean"/>
  <w:trackRevision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E2OWFiNzE3NjlhZjQ5MmRkYzg4NDg5MWI4MDJjN2EifQ=="/>
  </w:docVars>
  <w:rsids>
    <w:rsidRoot w:val="00D94DE0"/>
    <w:rsid w:val="00026823"/>
    <w:rsid w:val="00033288"/>
    <w:rsid w:val="000C0EF0"/>
    <w:rsid w:val="000D2684"/>
    <w:rsid w:val="000F1E95"/>
    <w:rsid w:val="00100549"/>
    <w:rsid w:val="00101D7A"/>
    <w:rsid w:val="00126298"/>
    <w:rsid w:val="00165D07"/>
    <w:rsid w:val="001D0A8E"/>
    <w:rsid w:val="001D1E84"/>
    <w:rsid w:val="001F512A"/>
    <w:rsid w:val="002105B6"/>
    <w:rsid w:val="00246FBD"/>
    <w:rsid w:val="00270BE1"/>
    <w:rsid w:val="00272689"/>
    <w:rsid w:val="00280AB1"/>
    <w:rsid w:val="002A62B6"/>
    <w:rsid w:val="002D1C6A"/>
    <w:rsid w:val="002D3204"/>
    <w:rsid w:val="002D3CB8"/>
    <w:rsid w:val="002F009B"/>
    <w:rsid w:val="002F6AAC"/>
    <w:rsid w:val="0030005C"/>
    <w:rsid w:val="003003A8"/>
    <w:rsid w:val="003037AC"/>
    <w:rsid w:val="00303A91"/>
    <w:rsid w:val="0031195C"/>
    <w:rsid w:val="00312D01"/>
    <w:rsid w:val="0031539D"/>
    <w:rsid w:val="00327FFA"/>
    <w:rsid w:val="00331A85"/>
    <w:rsid w:val="0033376B"/>
    <w:rsid w:val="003842B3"/>
    <w:rsid w:val="003A23B8"/>
    <w:rsid w:val="0041281E"/>
    <w:rsid w:val="00417075"/>
    <w:rsid w:val="00417A3C"/>
    <w:rsid w:val="0042010A"/>
    <w:rsid w:val="004215FC"/>
    <w:rsid w:val="00440002"/>
    <w:rsid w:val="004508A6"/>
    <w:rsid w:val="0045233F"/>
    <w:rsid w:val="00461B78"/>
    <w:rsid w:val="00493D0F"/>
    <w:rsid w:val="004D5D56"/>
    <w:rsid w:val="004F5800"/>
    <w:rsid w:val="00515E4E"/>
    <w:rsid w:val="00572C46"/>
    <w:rsid w:val="00577475"/>
    <w:rsid w:val="00583B22"/>
    <w:rsid w:val="005A4B9F"/>
    <w:rsid w:val="005B7A2C"/>
    <w:rsid w:val="005E068C"/>
    <w:rsid w:val="005F7EAA"/>
    <w:rsid w:val="00601E87"/>
    <w:rsid w:val="00645627"/>
    <w:rsid w:val="006528EB"/>
    <w:rsid w:val="00653454"/>
    <w:rsid w:val="00685E35"/>
    <w:rsid w:val="006C5923"/>
    <w:rsid w:val="00700D08"/>
    <w:rsid w:val="007555AE"/>
    <w:rsid w:val="0076016F"/>
    <w:rsid w:val="00762C08"/>
    <w:rsid w:val="007A53C3"/>
    <w:rsid w:val="007A6CB1"/>
    <w:rsid w:val="007B488C"/>
    <w:rsid w:val="007D6AE3"/>
    <w:rsid w:val="007E15EE"/>
    <w:rsid w:val="007E3140"/>
    <w:rsid w:val="007F5A9D"/>
    <w:rsid w:val="007F69BF"/>
    <w:rsid w:val="00826A39"/>
    <w:rsid w:val="008305BC"/>
    <w:rsid w:val="00831DEB"/>
    <w:rsid w:val="008405FF"/>
    <w:rsid w:val="0085044A"/>
    <w:rsid w:val="0087288E"/>
    <w:rsid w:val="008977E3"/>
    <w:rsid w:val="008B10F6"/>
    <w:rsid w:val="008D7445"/>
    <w:rsid w:val="008F6FC7"/>
    <w:rsid w:val="00916276"/>
    <w:rsid w:val="00925C13"/>
    <w:rsid w:val="00927486"/>
    <w:rsid w:val="009502CA"/>
    <w:rsid w:val="00960E10"/>
    <w:rsid w:val="009627A4"/>
    <w:rsid w:val="00963575"/>
    <w:rsid w:val="00986046"/>
    <w:rsid w:val="009A423E"/>
    <w:rsid w:val="009C4626"/>
    <w:rsid w:val="00A203F5"/>
    <w:rsid w:val="00A21CF5"/>
    <w:rsid w:val="00A30E62"/>
    <w:rsid w:val="00A409D6"/>
    <w:rsid w:val="00A8170F"/>
    <w:rsid w:val="00A94662"/>
    <w:rsid w:val="00AA7289"/>
    <w:rsid w:val="00AB0832"/>
    <w:rsid w:val="00AE0724"/>
    <w:rsid w:val="00AE6150"/>
    <w:rsid w:val="00B359B6"/>
    <w:rsid w:val="00B374D2"/>
    <w:rsid w:val="00B40891"/>
    <w:rsid w:val="00B53888"/>
    <w:rsid w:val="00B61E91"/>
    <w:rsid w:val="00B72567"/>
    <w:rsid w:val="00B842FD"/>
    <w:rsid w:val="00B848BA"/>
    <w:rsid w:val="00BD44B5"/>
    <w:rsid w:val="00BE7A51"/>
    <w:rsid w:val="00BF2EA8"/>
    <w:rsid w:val="00BF3925"/>
    <w:rsid w:val="00C02DE7"/>
    <w:rsid w:val="00C05497"/>
    <w:rsid w:val="00C14564"/>
    <w:rsid w:val="00C7673C"/>
    <w:rsid w:val="00CA4363"/>
    <w:rsid w:val="00D21EBD"/>
    <w:rsid w:val="00D321A5"/>
    <w:rsid w:val="00D571D4"/>
    <w:rsid w:val="00D72C40"/>
    <w:rsid w:val="00D94DE0"/>
    <w:rsid w:val="00DB6AF4"/>
    <w:rsid w:val="00DC2F35"/>
    <w:rsid w:val="00DD2AAC"/>
    <w:rsid w:val="00DD57A5"/>
    <w:rsid w:val="00DF107D"/>
    <w:rsid w:val="00E0662C"/>
    <w:rsid w:val="00E4376C"/>
    <w:rsid w:val="00E618EB"/>
    <w:rsid w:val="00E711CA"/>
    <w:rsid w:val="00E75B78"/>
    <w:rsid w:val="00E9205E"/>
    <w:rsid w:val="00ED3965"/>
    <w:rsid w:val="00ED759B"/>
    <w:rsid w:val="00EE12FF"/>
    <w:rsid w:val="00F0510E"/>
    <w:rsid w:val="00F20CAE"/>
    <w:rsid w:val="00F422D5"/>
    <w:rsid w:val="00F42648"/>
    <w:rsid w:val="00F537B7"/>
    <w:rsid w:val="00F82604"/>
    <w:rsid w:val="00FB7CF0"/>
    <w:rsid w:val="00FC6E3A"/>
    <w:rsid w:val="01094132"/>
    <w:rsid w:val="014852B3"/>
    <w:rsid w:val="01E94E49"/>
    <w:rsid w:val="028A4DC2"/>
    <w:rsid w:val="069F5975"/>
    <w:rsid w:val="097D1872"/>
    <w:rsid w:val="0B027B08"/>
    <w:rsid w:val="0BAB3447"/>
    <w:rsid w:val="0C7E427E"/>
    <w:rsid w:val="0D9159CB"/>
    <w:rsid w:val="0F4B602A"/>
    <w:rsid w:val="123D6042"/>
    <w:rsid w:val="13861856"/>
    <w:rsid w:val="154A2A83"/>
    <w:rsid w:val="19A50261"/>
    <w:rsid w:val="19BA30D3"/>
    <w:rsid w:val="1A0738C1"/>
    <w:rsid w:val="1C4C0F2C"/>
    <w:rsid w:val="1F0E3240"/>
    <w:rsid w:val="21C43A0A"/>
    <w:rsid w:val="22B66750"/>
    <w:rsid w:val="25AA69EB"/>
    <w:rsid w:val="29A0718A"/>
    <w:rsid w:val="2A2527D2"/>
    <w:rsid w:val="2B1320AC"/>
    <w:rsid w:val="2B5D23F9"/>
    <w:rsid w:val="2D2D1AFF"/>
    <w:rsid w:val="2FB77156"/>
    <w:rsid w:val="32EA73D6"/>
    <w:rsid w:val="3700570C"/>
    <w:rsid w:val="378025DA"/>
    <w:rsid w:val="38406CB4"/>
    <w:rsid w:val="39462149"/>
    <w:rsid w:val="3D582E30"/>
    <w:rsid w:val="3DFC181A"/>
    <w:rsid w:val="40AD06B3"/>
    <w:rsid w:val="432A3AEA"/>
    <w:rsid w:val="44181DC4"/>
    <w:rsid w:val="46827129"/>
    <w:rsid w:val="46F46A9B"/>
    <w:rsid w:val="474657FE"/>
    <w:rsid w:val="4C6F2CC0"/>
    <w:rsid w:val="52036DC7"/>
    <w:rsid w:val="5B1A5DBB"/>
    <w:rsid w:val="5BE52106"/>
    <w:rsid w:val="5BF1297E"/>
    <w:rsid w:val="5CD720E7"/>
    <w:rsid w:val="626F4CE8"/>
    <w:rsid w:val="676D5D3F"/>
    <w:rsid w:val="68194774"/>
    <w:rsid w:val="6AC45DE2"/>
    <w:rsid w:val="6B3577C8"/>
    <w:rsid w:val="6B4A0B9A"/>
    <w:rsid w:val="6C2052C5"/>
    <w:rsid w:val="6D546285"/>
    <w:rsid w:val="6ECF78C3"/>
    <w:rsid w:val="6FF373A0"/>
    <w:rsid w:val="72B26D4A"/>
    <w:rsid w:val="76023FD2"/>
    <w:rsid w:val="78083E12"/>
    <w:rsid w:val="785A09B6"/>
    <w:rsid w:val="79F005DE"/>
    <w:rsid w:val="7A087CB4"/>
    <w:rsid w:val="7AD422DF"/>
    <w:rsid w:val="7B3E2FDB"/>
    <w:rsid w:val="7D140B97"/>
    <w:rsid w:val="7FBA12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0B4AE9-9DFF-46DD-BBB8-973B88D61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autoRedefine/>
    <w:qFormat/>
    <w:pPr>
      <w:spacing w:line="440" w:lineRule="exact"/>
      <w:ind w:firstLine="555"/>
      <w:outlineLvl w:val="0"/>
    </w:pPr>
    <w:rPr>
      <w:rFonts w:ascii="仿宋_GB2312" w:eastAsia="仿宋_GB2312"/>
      <w:kern w:val="0"/>
      <w:sz w:val="28"/>
      <w:szCs w:val="20"/>
    </w:rPr>
  </w:style>
  <w:style w:type="paragraph" w:styleId="a4">
    <w:name w:val="footer"/>
    <w:basedOn w:val="a"/>
    <w:link w:val="a5"/>
    <w:autoRedefine/>
    <w:uiPriority w:val="99"/>
    <w:unhideWhenUsed/>
    <w:qFormat/>
    <w:pPr>
      <w:tabs>
        <w:tab w:val="center" w:pos="4153"/>
        <w:tab w:val="right" w:pos="8306"/>
      </w:tabs>
      <w:snapToGrid w:val="0"/>
      <w:jc w:val="left"/>
    </w:pPr>
    <w:rPr>
      <w:sz w:val="18"/>
      <w:szCs w:val="18"/>
    </w:rPr>
  </w:style>
  <w:style w:type="paragraph" w:styleId="a6">
    <w:name w:val="header"/>
    <w:basedOn w:val="a"/>
    <w:link w:val="a7"/>
    <w:autoRedefine/>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semiHidden/>
    <w:unhideWhenUsed/>
    <w:qFormat/>
    <w:pPr>
      <w:spacing w:beforeAutospacing="1" w:afterAutospacing="1"/>
      <w:jc w:val="left"/>
    </w:pPr>
    <w:rPr>
      <w:kern w:val="0"/>
      <w:sz w:val="24"/>
    </w:rPr>
  </w:style>
  <w:style w:type="table" w:styleId="a9">
    <w:name w:val="Table Grid"/>
    <w:basedOn w:val="a1"/>
    <w:autoRedefine/>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basedOn w:val="a0"/>
    <w:uiPriority w:val="22"/>
    <w:qFormat/>
    <w:rPr>
      <w:b/>
    </w:rPr>
  </w:style>
  <w:style w:type="character" w:styleId="ab">
    <w:name w:val="Hyperlink"/>
    <w:basedOn w:val="a0"/>
    <w:autoRedefine/>
    <w:uiPriority w:val="99"/>
    <w:semiHidden/>
    <w:unhideWhenUsed/>
    <w:qFormat/>
    <w:rPr>
      <w:color w:val="0000FF"/>
      <w:u w:val="single"/>
    </w:rPr>
  </w:style>
  <w:style w:type="character" w:customStyle="1" w:styleId="a7">
    <w:name w:val="页眉 字符"/>
    <w:basedOn w:val="a0"/>
    <w:link w:val="a6"/>
    <w:autoRedefine/>
    <w:qFormat/>
    <w:rPr>
      <w:rFonts w:ascii="Times New Roman" w:eastAsia="宋体" w:hAnsi="Times New Roman" w:cs="Times New Roman"/>
      <w:sz w:val="18"/>
      <w:szCs w:val="18"/>
    </w:rPr>
  </w:style>
  <w:style w:type="character" w:customStyle="1" w:styleId="a5">
    <w:name w:val="页脚 字符"/>
    <w:basedOn w:val="a0"/>
    <w:link w:val="a4"/>
    <w:autoRedefine/>
    <w:uiPriority w:val="99"/>
    <w:qFormat/>
    <w:rPr>
      <w:rFonts w:ascii="Times New Roman" w:eastAsia="宋体" w:hAnsi="Times New Roman" w:cs="Times New Roman"/>
      <w:sz w:val="18"/>
      <w:szCs w:val="18"/>
    </w:rPr>
  </w:style>
  <w:style w:type="paragraph" w:styleId="ac">
    <w:name w:val="List Paragraph"/>
    <w:basedOn w:val="a"/>
    <w:autoRedefine/>
    <w:uiPriority w:val="34"/>
    <w:qFormat/>
    <w:pPr>
      <w:ind w:firstLineChars="200" w:firstLine="420"/>
    </w:pPr>
  </w:style>
  <w:style w:type="paragraph" w:customStyle="1" w:styleId="ad">
    <w:name w:val="段"/>
    <w:autoRedefine/>
    <w:qFormat/>
    <w:pPr>
      <w:tabs>
        <w:tab w:val="center" w:pos="4201"/>
        <w:tab w:val="right" w:leader="dot" w:pos="9298"/>
      </w:tabs>
      <w:autoSpaceDE w:val="0"/>
      <w:autoSpaceDN w:val="0"/>
      <w:ind w:firstLineChars="200" w:firstLine="420"/>
      <w:jc w:val="both"/>
    </w:pPr>
    <w:rPr>
      <w:rFonts w:ascii="宋体" w:eastAsiaTheme="minorEastAsia" w:hAnsiTheme="minorHAnsi" w:cstheme="minorBidi"/>
      <w:kern w:val="2"/>
      <w:sz w:val="21"/>
      <w:szCs w:val="22"/>
    </w:rPr>
  </w:style>
  <w:style w:type="paragraph" w:styleId="ae">
    <w:name w:val="Balloon Text"/>
    <w:basedOn w:val="a"/>
    <w:link w:val="af"/>
    <w:uiPriority w:val="99"/>
    <w:semiHidden/>
    <w:unhideWhenUsed/>
    <w:rsid w:val="00DB6AF4"/>
    <w:rPr>
      <w:sz w:val="18"/>
      <w:szCs w:val="18"/>
    </w:rPr>
  </w:style>
  <w:style w:type="character" w:customStyle="1" w:styleId="af">
    <w:name w:val="批注框文本 字符"/>
    <w:basedOn w:val="a0"/>
    <w:link w:val="ae"/>
    <w:uiPriority w:val="99"/>
    <w:semiHidden/>
    <w:rsid w:val="00DB6AF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454</Words>
  <Characters>2590</Characters>
  <Application>Microsoft Office Word</Application>
  <DocSecurity>0</DocSecurity>
  <Lines>21</Lines>
  <Paragraphs>6</Paragraphs>
  <ScaleCrop>false</ScaleCrop>
  <Company/>
  <LinksUpToDate>false</LinksUpToDate>
  <CharactersWithSpaces>3038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dc:creator>
  <cp:lastModifiedBy>wxy</cp:lastModifiedBy>
  <cp:revision>12</cp:revision>
  <cp:lastPrinted>2024-08-08T03:30:00Z</cp:lastPrinted>
  <dcterms:created xsi:type="dcterms:W3CDTF">2023-12-06T09:21:00Z</dcterms:created>
  <dcterms:modified xsi:type="dcterms:W3CDTF">2024-08-12T06:39:00Z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DDDB0EBD43DE41DDBEC4F1CDC82A0EBF_13</vt:lpwstr>
  </property>
</Properties>
</file>